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560" w:lineRule="exact"/>
        <w:ind w:firstLine="640"/>
        <w:jc w:val="center"/>
        <w:rPr>
          <w:rFonts w:ascii="仿宋_GB2312" w:eastAsia="仿宋_GB2312"/>
          <w:sz w:val="32"/>
          <w:szCs w:val="24"/>
        </w:rPr>
      </w:pPr>
      <w:bookmarkStart w:id="23" w:name="_GoBack"/>
      <w:bookmarkEnd w:id="23"/>
    </w:p>
    <w:p>
      <w:pPr>
        <w:pStyle w:val="11"/>
        <w:spacing w:line="560" w:lineRule="exact"/>
        <w:ind w:firstLine="0" w:firstLineChars="0"/>
        <w:jc w:val="center"/>
        <w:rPr>
          <w:rFonts w:ascii="方正小标宋_GBK" w:eastAsia="方正小标宋_GBK"/>
          <w:b/>
          <w:sz w:val="36"/>
          <w:szCs w:val="24"/>
        </w:rPr>
      </w:pPr>
      <w:r>
        <w:rPr>
          <w:rFonts w:hint="eastAsia" w:ascii="方正小标宋_GBK" w:eastAsia="方正小标宋_GBK"/>
          <w:b/>
          <w:sz w:val="36"/>
          <w:szCs w:val="24"/>
        </w:rPr>
        <w:t>202</w:t>
      </w:r>
      <w:r>
        <w:rPr>
          <w:rFonts w:hint="eastAsia" w:ascii="方正小标宋_GBK" w:eastAsia="方正小标宋_GBK"/>
          <w:b/>
          <w:sz w:val="36"/>
          <w:szCs w:val="24"/>
          <w:lang w:val="en-US" w:eastAsia="zh-CN"/>
        </w:rPr>
        <w:t>5</w:t>
      </w:r>
      <w:r>
        <w:rPr>
          <w:rFonts w:hint="eastAsia" w:ascii="方正小标宋_GBK" w:eastAsia="方正小标宋_GBK"/>
          <w:b/>
          <w:sz w:val="36"/>
          <w:szCs w:val="24"/>
        </w:rPr>
        <w:t>年云南省自然科学奖项目“肠道病毒感染</w:t>
      </w:r>
      <w:r>
        <w:rPr>
          <w:rFonts w:hint="eastAsia" w:ascii="方正小标宋_GBK" w:eastAsia="方正小标宋_GBK"/>
          <w:b/>
          <w:sz w:val="36"/>
          <w:szCs w:val="24"/>
          <w:lang w:val="en-US" w:eastAsia="zh-CN"/>
        </w:rPr>
        <w:t>特征</w:t>
      </w:r>
      <w:r>
        <w:rPr>
          <w:rFonts w:hint="eastAsia" w:ascii="方正小标宋_GBK" w:eastAsia="方正小标宋_GBK"/>
          <w:b/>
          <w:sz w:val="36"/>
          <w:szCs w:val="24"/>
        </w:rPr>
        <w:t>与致病机理研究”基本情况</w:t>
      </w:r>
    </w:p>
    <w:p>
      <w:pPr>
        <w:pStyle w:val="11"/>
        <w:spacing w:line="560" w:lineRule="exact"/>
        <w:ind w:firstLine="480"/>
        <w:rPr>
          <w:rFonts w:ascii="仿宋_GB2312" w:eastAsia="仿宋_GB2312"/>
          <w:sz w:val="24"/>
          <w:szCs w:val="24"/>
        </w:rPr>
      </w:pPr>
    </w:p>
    <w:p>
      <w:pPr>
        <w:pageBreakBefore w:val="0"/>
        <w:kinsoku/>
        <w:topLinePunct w:val="0"/>
        <w:bidi w:val="0"/>
        <w:spacing w:line="360" w:lineRule="auto"/>
        <w:rPr>
          <w:rFonts w:hint="eastAsia" w:ascii="Times New Roman" w:hAnsi="Times New Roman" w:cs="Times New Roman"/>
          <w:b/>
          <w:bCs/>
          <w:kern w:val="24"/>
          <w:sz w:val="24"/>
          <w:szCs w:val="24"/>
        </w:rPr>
      </w:pPr>
      <w:r>
        <w:rPr>
          <w:rFonts w:hint="eastAsia" w:ascii="Times New Roman" w:hAnsi="Times New Roman" w:cs="Times New Roman"/>
          <w:b/>
          <w:bCs/>
          <w:kern w:val="24"/>
          <w:sz w:val="24"/>
          <w:szCs w:val="24"/>
        </w:rPr>
        <w:t>一、项目基本情况</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rPr>
      </w:pPr>
      <w:r>
        <w:rPr>
          <w:rFonts w:hint="eastAsia" w:ascii="Times New Roman" w:hAnsi="Times New Roman" w:cs="Times New Roman"/>
          <w:kern w:val="24"/>
          <w:sz w:val="24"/>
          <w:szCs w:val="24"/>
        </w:rPr>
        <w:t>（一）项目名称：肠道病毒感染</w:t>
      </w:r>
      <w:r>
        <w:rPr>
          <w:rFonts w:hint="eastAsia" w:ascii="Times New Roman" w:hAnsi="Times New Roman" w:cs="Times New Roman"/>
          <w:kern w:val="24"/>
          <w:sz w:val="24"/>
          <w:szCs w:val="24"/>
          <w:lang w:val="en-US" w:eastAsia="zh-CN"/>
        </w:rPr>
        <w:t>特征</w:t>
      </w:r>
      <w:r>
        <w:rPr>
          <w:rFonts w:hint="eastAsia" w:ascii="Times New Roman" w:hAnsi="Times New Roman" w:cs="Times New Roman"/>
          <w:kern w:val="24"/>
          <w:sz w:val="24"/>
          <w:szCs w:val="24"/>
        </w:rPr>
        <w:t xml:space="preserve">与致病机理研究  </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rPr>
      </w:pPr>
      <w:r>
        <w:rPr>
          <w:rFonts w:hint="eastAsia" w:ascii="Times New Roman" w:hAnsi="Times New Roman" w:cs="Times New Roman"/>
          <w:kern w:val="24"/>
          <w:sz w:val="24"/>
          <w:szCs w:val="24"/>
        </w:rPr>
        <w:t>（二）主要完成人: 宋杰 郑惠文 李恒 胡雅洁</w:t>
      </w:r>
      <w:r>
        <w:rPr>
          <w:rFonts w:hint="eastAsia" w:ascii="Times New Roman" w:hAnsi="Times New Roman" w:cs="Times New Roman"/>
          <w:kern w:val="24"/>
          <w:sz w:val="24"/>
          <w:szCs w:val="24"/>
          <w:lang w:val="en-US" w:eastAsia="zh-CN"/>
        </w:rPr>
        <w:t xml:space="preserve"> </w:t>
      </w:r>
      <w:r>
        <w:rPr>
          <w:rFonts w:hint="eastAsia" w:ascii="Times New Roman" w:hAnsi="Times New Roman" w:cs="Times New Roman"/>
          <w:kern w:val="24"/>
          <w:sz w:val="24"/>
          <w:szCs w:val="24"/>
        </w:rPr>
        <w:t>胡云光 赵恒 于丽</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rPr>
      </w:pPr>
      <w:r>
        <w:rPr>
          <w:rFonts w:hint="eastAsia" w:ascii="Times New Roman" w:hAnsi="Times New Roman" w:cs="Times New Roman"/>
          <w:kern w:val="24"/>
          <w:sz w:val="24"/>
          <w:szCs w:val="24"/>
        </w:rPr>
        <w:t>（三）主要完成单位：中国医学科学院医学生物学研究所</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lang w:val="en-US" w:eastAsia="zh-CN"/>
        </w:rPr>
      </w:pPr>
      <w:r>
        <w:rPr>
          <w:rFonts w:hint="eastAsia" w:ascii="Times New Roman" w:hAnsi="Times New Roman" w:cs="Times New Roman"/>
          <w:kern w:val="24"/>
          <w:sz w:val="24"/>
          <w:szCs w:val="24"/>
        </w:rPr>
        <w:t>（四）项目所属学科：</w:t>
      </w:r>
      <w:r>
        <w:rPr>
          <w:rFonts w:hint="eastAsia" w:ascii="Times New Roman" w:hAnsi="Times New Roman" w:cs="Times New Roman"/>
          <w:kern w:val="24"/>
          <w:sz w:val="24"/>
          <w:szCs w:val="24"/>
          <w:lang w:val="en-US" w:eastAsia="zh-CN"/>
        </w:rPr>
        <w:t>医药与基础医学</w:t>
      </w:r>
    </w:p>
    <w:p>
      <w:pPr>
        <w:pageBreakBefore w:val="0"/>
        <w:kinsoku/>
        <w:topLinePunct w:val="0"/>
        <w:bidi w:val="0"/>
        <w:spacing w:line="360" w:lineRule="auto"/>
        <w:ind w:left="210" w:leftChars="100" w:firstLine="480" w:firstLineChars="200"/>
        <w:rPr>
          <w:rFonts w:hint="default" w:ascii="Times New Roman" w:hAnsi="Times New Roman" w:cs="Times New Roman"/>
          <w:kern w:val="24"/>
          <w:sz w:val="24"/>
          <w:szCs w:val="24"/>
          <w:lang w:val="en-US" w:eastAsia="zh-CN"/>
        </w:rPr>
      </w:pPr>
      <w:r>
        <w:rPr>
          <w:rFonts w:hint="eastAsia" w:ascii="Times New Roman" w:hAnsi="Times New Roman" w:cs="Times New Roman"/>
          <w:kern w:val="24"/>
          <w:sz w:val="24"/>
          <w:szCs w:val="24"/>
          <w:lang w:val="en-US" w:eastAsia="zh-CN"/>
        </w:rPr>
        <w:t>（五）提名单位：</w:t>
      </w:r>
      <w:r>
        <w:rPr>
          <w:rFonts w:hint="eastAsia" w:ascii="Times New Roman" w:hAnsi="Times New Roman" w:cs="Times New Roman"/>
          <w:kern w:val="24"/>
          <w:sz w:val="24"/>
          <w:szCs w:val="24"/>
        </w:rPr>
        <w:t>中国医学科学院医学生物学研究所</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lang w:val="en-US" w:eastAsia="zh-CN"/>
        </w:rPr>
      </w:pPr>
      <w:r>
        <w:rPr>
          <w:rFonts w:hint="eastAsia" w:ascii="Times New Roman" w:hAnsi="Times New Roman" w:cs="Times New Roman"/>
          <w:kern w:val="24"/>
          <w:sz w:val="24"/>
          <w:szCs w:val="24"/>
        </w:rPr>
        <w:t>（</w:t>
      </w:r>
      <w:r>
        <w:rPr>
          <w:rFonts w:hint="eastAsia" w:ascii="Times New Roman" w:hAnsi="Times New Roman" w:cs="Times New Roman"/>
          <w:kern w:val="24"/>
          <w:sz w:val="24"/>
          <w:szCs w:val="24"/>
          <w:lang w:val="en-US" w:eastAsia="zh-CN"/>
        </w:rPr>
        <w:t>六</w:t>
      </w:r>
      <w:r>
        <w:rPr>
          <w:rFonts w:hint="eastAsia" w:ascii="Times New Roman" w:hAnsi="Times New Roman" w:cs="Times New Roman"/>
          <w:kern w:val="24"/>
          <w:sz w:val="24"/>
          <w:szCs w:val="24"/>
        </w:rPr>
        <w:t>）提名等级：</w:t>
      </w:r>
      <w:r>
        <w:rPr>
          <w:rFonts w:hint="eastAsia" w:ascii="Times New Roman" w:hAnsi="Times New Roman" w:cs="Times New Roman"/>
          <w:kern w:val="24"/>
          <w:sz w:val="24"/>
          <w:szCs w:val="24"/>
          <w:lang w:val="en-US" w:eastAsia="zh-CN"/>
        </w:rPr>
        <w:t>云南省自然科学奖三等奖</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rPr>
      </w:pPr>
      <w:r>
        <w:rPr>
          <w:rFonts w:hint="eastAsia" w:ascii="Times New Roman" w:hAnsi="Times New Roman" w:cs="Times New Roman"/>
          <w:kern w:val="24"/>
          <w:sz w:val="24"/>
          <w:szCs w:val="24"/>
        </w:rPr>
        <w:t>（</w:t>
      </w:r>
      <w:r>
        <w:rPr>
          <w:rFonts w:hint="eastAsia" w:ascii="Times New Roman" w:hAnsi="Times New Roman" w:cs="Times New Roman"/>
          <w:kern w:val="24"/>
          <w:sz w:val="24"/>
          <w:szCs w:val="24"/>
          <w:lang w:val="en-US" w:eastAsia="zh-CN"/>
        </w:rPr>
        <w:t>七</w:t>
      </w:r>
      <w:r>
        <w:rPr>
          <w:rFonts w:hint="eastAsia" w:ascii="Times New Roman" w:hAnsi="Times New Roman" w:cs="Times New Roman"/>
          <w:kern w:val="24"/>
          <w:sz w:val="24"/>
          <w:szCs w:val="24"/>
        </w:rPr>
        <w:t>）提名意见：</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rPr>
      </w:pPr>
      <w:r>
        <w:rPr>
          <w:rFonts w:hint="eastAsia" w:ascii="Times New Roman" w:hAnsi="Times New Roman" w:cs="Times New Roman"/>
          <w:kern w:val="24"/>
          <w:sz w:val="24"/>
          <w:szCs w:val="24"/>
        </w:rPr>
        <w:t>肠道病毒属于小RNA病毒科病毒，感染后可能引发多种疾病，如手足口病、心肌炎、疱疹性咽颊炎、脊髓灰质炎等，给公共卫生健康带来巨大的威胁。本项目在国家自然科学基金、云南省应用基础研究等项目支持下，系统性描绘了EV-A71、CV-A16、CV-A10和EV-D68感染多种细胞和动物模型的免疫学特征，并从肠道病毒穿越血脑屏障造成中枢神经系统损伤的机制、病毒诱导细胞自噬介导免疫逃逸反应、病毒抗原诱导的抗体反应特征等多维度揭示了肠道病毒感染的致病分子机理。上述研究不仅丰富了肠道病毒的致病机理，为肠道病毒感染的诊断和药物开发提供了新的靶标，也为进一步为开发多价肠道病毒疫苗奠定了坚实的基础。上述相关研究成果已发表篇论文19篇，其中SCI论文14篇，19篇核心论文他引种频次为193次，包括</w:t>
      </w:r>
      <w:r>
        <w:rPr>
          <w:rFonts w:hint="eastAsia" w:ascii="Times New Roman" w:hAnsi="Times New Roman" w:cs="Times New Roman"/>
          <w:i/>
          <w:iCs/>
          <w:kern w:val="24"/>
          <w:sz w:val="24"/>
          <w:szCs w:val="24"/>
        </w:rPr>
        <w:t>Nature methods</w:t>
      </w:r>
      <w:r>
        <w:rPr>
          <w:rFonts w:hint="eastAsia" w:ascii="Times New Roman" w:hAnsi="Times New Roman" w:cs="Times New Roman"/>
          <w:kern w:val="24"/>
          <w:sz w:val="24"/>
          <w:szCs w:val="24"/>
        </w:rPr>
        <w:t>、</w:t>
      </w:r>
      <w:r>
        <w:rPr>
          <w:rFonts w:hint="eastAsia" w:ascii="Times New Roman" w:hAnsi="Times New Roman" w:cs="Times New Roman"/>
          <w:i/>
          <w:iCs/>
          <w:kern w:val="24"/>
          <w:sz w:val="24"/>
          <w:szCs w:val="24"/>
        </w:rPr>
        <w:t>Nature communications</w:t>
      </w:r>
      <w:r>
        <w:rPr>
          <w:rFonts w:hint="eastAsia" w:ascii="Times New Roman" w:hAnsi="Times New Roman" w:cs="Times New Roman"/>
          <w:kern w:val="24"/>
          <w:sz w:val="24"/>
          <w:szCs w:val="24"/>
        </w:rPr>
        <w:t>等高水平期刊的正面引用，培养博士研究生 6名和 硕士研究生16 名，产生了积极广泛的学术影响和社会价值。该成果有系统原始创新性，在肠道病毒研究领域整体处于国际先进、国内领先水平。</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rPr>
      </w:pPr>
      <w:r>
        <w:rPr>
          <w:rFonts w:hint="eastAsia" w:ascii="Times New Roman" w:hAnsi="Times New Roman" w:cs="Times New Roman"/>
          <w:kern w:val="24"/>
          <w:sz w:val="24"/>
          <w:szCs w:val="24"/>
        </w:rPr>
        <w:t>同意提名该项目为云南省自然科学奖三等奖。</w:t>
      </w:r>
    </w:p>
    <w:p>
      <w:pPr>
        <w:pageBreakBefore w:val="0"/>
        <w:kinsoku/>
        <w:topLinePunct w:val="0"/>
        <w:bidi w:val="0"/>
        <w:spacing w:line="360" w:lineRule="auto"/>
        <w:ind w:left="210" w:leftChars="100" w:firstLine="480" w:firstLineChars="200"/>
        <w:rPr>
          <w:rFonts w:hint="eastAsia" w:ascii="Times New Roman" w:hAnsi="Times New Roman" w:cs="Times New Roman"/>
          <w:kern w:val="24"/>
          <w:sz w:val="24"/>
          <w:szCs w:val="24"/>
        </w:rPr>
      </w:pPr>
    </w:p>
    <w:p>
      <w:pPr>
        <w:pageBreakBefore w:val="0"/>
        <w:kinsoku/>
        <w:topLinePunct w:val="0"/>
        <w:bidi w:val="0"/>
        <w:spacing w:line="360" w:lineRule="auto"/>
        <w:rPr>
          <w:rFonts w:hint="eastAsia" w:ascii="Times New Roman" w:hAnsi="Times New Roman" w:cs="Times New Roman"/>
          <w:b/>
          <w:bCs/>
          <w:kern w:val="24"/>
          <w:sz w:val="24"/>
          <w:szCs w:val="24"/>
        </w:rPr>
      </w:pPr>
      <w:r>
        <w:rPr>
          <w:rFonts w:hint="eastAsia" w:ascii="Times New Roman" w:hAnsi="Times New Roman" w:cs="Times New Roman"/>
          <w:b/>
          <w:bCs/>
          <w:kern w:val="24"/>
          <w:sz w:val="24"/>
          <w:szCs w:val="24"/>
          <w:lang w:val="en-US" w:eastAsia="zh-CN"/>
        </w:rPr>
        <w:t>二、</w:t>
      </w:r>
      <w:r>
        <w:rPr>
          <w:rFonts w:hint="eastAsia" w:ascii="Times New Roman" w:hAnsi="Times New Roman" w:cs="Times New Roman"/>
          <w:b/>
          <w:bCs/>
          <w:kern w:val="24"/>
          <w:sz w:val="24"/>
          <w:szCs w:val="24"/>
        </w:rPr>
        <w:t>项目简介</w:t>
      </w:r>
    </w:p>
    <w:p>
      <w:pPr>
        <w:pageBreakBefore w:val="0"/>
        <w:kinsoku/>
        <w:topLinePunct w:val="0"/>
        <w:bidi w:val="0"/>
        <w:spacing w:line="360" w:lineRule="auto"/>
        <w:ind w:left="210" w:leftChars="100" w:firstLine="480" w:firstLineChars="200"/>
        <w:rPr>
          <w:rFonts w:hint="default" w:ascii="Times New Roman" w:hAnsi="Times New Roman" w:cs="Times New Roman"/>
          <w:kern w:val="24"/>
          <w:sz w:val="24"/>
          <w:szCs w:val="24"/>
        </w:rPr>
      </w:pPr>
      <w:bookmarkStart w:id="0" w:name="OLE_LINK18"/>
      <w:bookmarkStart w:id="1" w:name="OLE_LINK29"/>
      <w:bookmarkStart w:id="2" w:name="OLE_LINK27"/>
      <w:bookmarkStart w:id="3" w:name="OLE_LINK1"/>
      <w:r>
        <w:rPr>
          <w:rFonts w:hint="default" w:ascii="Times New Roman" w:hAnsi="Times New Roman" w:cs="Times New Roman"/>
          <w:kern w:val="24"/>
          <w:sz w:val="24"/>
          <w:szCs w:val="24"/>
        </w:rPr>
        <w:t>肠道病毒属于小RNA病毒科病毒，感染后可能引发多种疾病，如手足口病、心肌炎、疱疹性咽颊炎、脊髓灰质炎等，给公共卫生健康带来巨大的威胁。本项目在国家自然科学基金、云南省应用基础研究等项目支持下</w:t>
      </w:r>
      <w:bookmarkStart w:id="4" w:name="OLE_LINK13"/>
      <w:r>
        <w:rPr>
          <w:rFonts w:hint="default" w:ascii="Times New Roman" w:hAnsi="Times New Roman" w:cs="Times New Roman"/>
          <w:kern w:val="24"/>
          <w:sz w:val="24"/>
          <w:szCs w:val="24"/>
        </w:rPr>
        <w:t>系统性描绘了</w:t>
      </w:r>
      <w:bookmarkStart w:id="5" w:name="OLE_LINK70"/>
      <w:r>
        <w:rPr>
          <w:rFonts w:hint="default" w:ascii="Times New Roman" w:hAnsi="Times New Roman" w:cs="Times New Roman"/>
          <w:kern w:val="24"/>
          <w:sz w:val="24"/>
          <w:szCs w:val="24"/>
        </w:rPr>
        <w:t>EV-A71、CV-A16、CV-A10和EV-D68感染多种细胞和动物模型的</w:t>
      </w:r>
      <w:bookmarkEnd w:id="5"/>
      <w:r>
        <w:rPr>
          <w:rFonts w:hint="default" w:ascii="Times New Roman" w:hAnsi="Times New Roman" w:cs="Times New Roman"/>
          <w:kern w:val="24"/>
          <w:sz w:val="24"/>
          <w:szCs w:val="24"/>
        </w:rPr>
        <w:t>免疫学特征，并从肠道病毒穿越血脑屏障造成中枢神经系统损伤的机制、病毒诱导细胞自噬介导免疫逃逸反应、</w:t>
      </w:r>
      <w:r>
        <w:rPr>
          <w:rFonts w:hint="default" w:ascii="Times New Roman" w:hAnsi="Times New Roman" w:cs="Times New Roman"/>
          <w:kern w:val="24"/>
          <w:sz w:val="24"/>
          <w:szCs w:val="24"/>
          <w:lang w:val="en-US" w:eastAsia="zh-CN"/>
        </w:rPr>
        <w:t>病毒抗原诱导的</w:t>
      </w:r>
      <w:r>
        <w:rPr>
          <w:rFonts w:hint="default" w:ascii="Times New Roman" w:hAnsi="Times New Roman" w:cs="Times New Roman"/>
          <w:kern w:val="24"/>
          <w:sz w:val="24"/>
          <w:szCs w:val="24"/>
        </w:rPr>
        <w:t>抗体反应特征等多维度揭示了肠道病毒感染的致病分子机理</w:t>
      </w:r>
      <w:bookmarkEnd w:id="0"/>
      <w:r>
        <w:rPr>
          <w:rFonts w:hint="default" w:ascii="Times New Roman" w:hAnsi="Times New Roman" w:cs="Times New Roman"/>
          <w:kern w:val="24"/>
          <w:sz w:val="24"/>
          <w:szCs w:val="24"/>
        </w:rPr>
        <w:t>，主要创新点如下：</w:t>
      </w:r>
    </w:p>
    <w:bookmarkEnd w:id="1"/>
    <w:bookmarkEnd w:id="4"/>
    <w:p>
      <w:pPr>
        <w:pageBreakBefore w:val="0"/>
        <w:numPr>
          <w:ilvl w:val="0"/>
          <w:numId w:val="1"/>
        </w:numPr>
        <w:kinsoku/>
        <w:topLinePunct w:val="0"/>
        <w:bidi w:val="0"/>
        <w:spacing w:line="360" w:lineRule="auto"/>
        <w:ind w:left="210" w:leftChars="100" w:firstLine="482" w:firstLineChars="200"/>
        <w:rPr>
          <w:rFonts w:hint="default" w:ascii="Times New Roman" w:hAnsi="Times New Roman" w:cs="Times New Roman"/>
          <w:kern w:val="24"/>
          <w:sz w:val="24"/>
          <w:szCs w:val="24"/>
        </w:rPr>
      </w:pPr>
      <w:r>
        <w:rPr>
          <w:rFonts w:hint="default" w:ascii="Times New Roman" w:hAnsi="Times New Roman" w:cs="Times New Roman"/>
          <w:b/>
          <w:bCs/>
          <w:kern w:val="24"/>
          <w:sz w:val="24"/>
          <w:szCs w:val="24"/>
        </w:rPr>
        <w:t>解析肠道病毒感染生物学的基础科学问题，证实感染过程中病毒与宿主相互作用的关键特征</w:t>
      </w:r>
    </w:p>
    <w:p>
      <w:pPr>
        <w:pageBreakBefore w:val="0"/>
        <w:kinsoku/>
        <w:topLinePunct w:val="0"/>
        <w:bidi w:val="0"/>
        <w:spacing w:line="360" w:lineRule="auto"/>
        <w:ind w:left="210" w:leftChars="100" w:firstLine="480" w:firstLineChars="200"/>
        <w:rPr>
          <w:rFonts w:hint="default" w:ascii="Times New Roman" w:hAnsi="Times New Roman" w:cs="Times New Roman"/>
          <w:kern w:val="24"/>
          <w:sz w:val="24"/>
          <w:szCs w:val="24"/>
        </w:rPr>
      </w:pPr>
      <w:r>
        <w:rPr>
          <w:rFonts w:hint="default" w:ascii="Times New Roman" w:hAnsi="Times New Roman" w:cs="Times New Roman"/>
          <w:kern w:val="24"/>
          <w:sz w:val="24"/>
          <w:szCs w:val="24"/>
        </w:rPr>
        <w:t>①利用恒河猴、转基因小鼠、乳鼠、雪貂4种动物模型展示EV-A71、CV-A16</w:t>
      </w:r>
      <w:r>
        <w:rPr>
          <w:rFonts w:hint="default" w:ascii="Times New Roman" w:hAnsi="Times New Roman" w:cs="Times New Roman"/>
          <w:kern w:val="24"/>
          <w:sz w:val="24"/>
          <w:szCs w:val="24"/>
          <w:lang w:eastAsia="zh-CN"/>
        </w:rPr>
        <w:t>、</w:t>
      </w:r>
      <w:r>
        <w:rPr>
          <w:rFonts w:hint="default" w:ascii="Times New Roman" w:hAnsi="Times New Roman" w:cs="Times New Roman"/>
          <w:kern w:val="24"/>
          <w:sz w:val="24"/>
          <w:szCs w:val="24"/>
        </w:rPr>
        <w:t>EV-D68感染过程中的病原特征和病理性改变</w:t>
      </w:r>
      <w:r>
        <w:rPr>
          <w:rFonts w:hint="default" w:ascii="Times New Roman" w:hAnsi="Times New Roman" w:cs="Times New Roman"/>
          <w:kern w:val="24"/>
          <w:sz w:val="24"/>
          <w:szCs w:val="24"/>
          <w:lang w:eastAsia="zh-CN"/>
        </w:rPr>
        <w:t>；</w:t>
      </w:r>
      <w:r>
        <w:rPr>
          <w:rFonts w:hint="default" w:ascii="Times New Roman" w:hAnsi="Times New Roman" w:cs="Times New Roman"/>
          <w:kern w:val="24"/>
          <w:sz w:val="24"/>
          <w:szCs w:val="24"/>
        </w:rPr>
        <w:t>②创新性提出低剂量IL-2通过调节免疫平衡对EV-A71的治疗作用；③通过恒河猴模型提出肠道微生态对肠道病毒组构成的影响；④创新性地从细胞转录组层面分析了miRNA组伴随感染过程的动态变化。</w:t>
      </w:r>
    </w:p>
    <w:p>
      <w:pPr>
        <w:pageBreakBefore w:val="0"/>
        <w:numPr>
          <w:ilvl w:val="0"/>
          <w:numId w:val="1"/>
        </w:numPr>
        <w:kinsoku/>
        <w:topLinePunct w:val="0"/>
        <w:bidi w:val="0"/>
        <w:spacing w:line="360" w:lineRule="auto"/>
        <w:ind w:left="210" w:leftChars="100" w:firstLine="482" w:firstLineChars="200"/>
        <w:rPr>
          <w:rFonts w:hint="default" w:ascii="Times New Roman" w:hAnsi="Times New Roman" w:cs="Times New Roman"/>
          <w:b/>
          <w:bCs/>
          <w:kern w:val="24"/>
          <w:sz w:val="24"/>
          <w:szCs w:val="24"/>
        </w:rPr>
      </w:pPr>
      <w:r>
        <w:rPr>
          <w:rFonts w:hint="default" w:ascii="Times New Roman" w:hAnsi="Times New Roman" w:cs="Times New Roman"/>
          <w:b/>
          <w:bCs/>
          <w:kern w:val="24"/>
          <w:sz w:val="24"/>
          <w:szCs w:val="24"/>
        </w:rPr>
        <w:t>提出非脊髓灰质炎肠道病毒致病的分子机理</w:t>
      </w:r>
    </w:p>
    <w:p>
      <w:pPr>
        <w:pStyle w:val="11"/>
        <w:pageBreakBefore w:val="0"/>
        <w:kinsoku/>
        <w:topLinePunct w:val="0"/>
        <w:bidi w:val="0"/>
        <w:spacing w:line="360" w:lineRule="auto"/>
        <w:ind w:left="210" w:leftChars="100" w:firstLine="480" w:firstLineChars="200"/>
        <w:rPr>
          <w:rFonts w:hint="default" w:ascii="Times New Roman" w:hAnsi="Times New Roman" w:cs="Times New Roman"/>
          <w:kern w:val="24"/>
          <w:sz w:val="24"/>
          <w:szCs w:val="24"/>
        </w:rPr>
      </w:pPr>
      <w:r>
        <w:rPr>
          <w:rFonts w:hint="default" w:ascii="Times New Roman" w:hAnsi="Times New Roman" w:cs="Times New Roman"/>
          <w:kern w:val="24"/>
          <w:sz w:val="24"/>
          <w:szCs w:val="24"/>
        </w:rPr>
        <w:fldChar w:fldCharType="begin"/>
      </w:r>
      <w:r>
        <w:rPr>
          <w:rFonts w:hint="default" w:ascii="Times New Roman" w:hAnsi="Times New Roman" w:cs="Times New Roman"/>
          <w:kern w:val="24"/>
          <w:sz w:val="24"/>
          <w:szCs w:val="24"/>
        </w:rPr>
        <w:instrText xml:space="preserve"> = 1 \* GB3 </w:instrText>
      </w:r>
      <w:r>
        <w:rPr>
          <w:rFonts w:hint="default" w:ascii="Times New Roman" w:hAnsi="Times New Roman" w:cs="Times New Roman"/>
          <w:kern w:val="24"/>
          <w:sz w:val="24"/>
          <w:szCs w:val="24"/>
        </w:rPr>
        <w:fldChar w:fldCharType="separate"/>
      </w:r>
      <w:r>
        <w:rPr>
          <w:rFonts w:hint="default" w:ascii="Times New Roman" w:hAnsi="Times New Roman" w:cs="Times New Roman"/>
          <w:kern w:val="24"/>
          <w:sz w:val="24"/>
          <w:szCs w:val="24"/>
        </w:rPr>
        <w:t>①</w:t>
      </w:r>
      <w:r>
        <w:rPr>
          <w:rFonts w:hint="default" w:ascii="Times New Roman" w:hAnsi="Times New Roman" w:cs="Times New Roman"/>
          <w:kern w:val="24"/>
          <w:sz w:val="24"/>
          <w:szCs w:val="24"/>
        </w:rPr>
        <w:fldChar w:fldCharType="end"/>
      </w:r>
      <w:r>
        <w:rPr>
          <w:rFonts w:hint="default" w:ascii="Times New Roman" w:hAnsi="Times New Roman" w:cs="Times New Roman"/>
          <w:kern w:val="24"/>
          <w:sz w:val="24"/>
          <w:szCs w:val="24"/>
        </w:rPr>
        <w:t>揭示了miR-1303通过调控MMP9在EV-A71和CV-A16穿越血脑屏障及造成中枢神经系统损伤的机理；②创新性地证实了TLR7介导的自噬反应在EV-A71和CV-A16免疫逃逸中的关键作用；③阐明了miR-4516在EV-A71和CV-A16诱发差异性呼吸道上皮损伤中的机理；④发现了EV-A71和CV-A16在感染CD1c+ DC后诱导的差异性天然免疫反应；⑤阐明了EV-D68的3D聚合酶和2A蛋白通过调控IFN-Ⅰ通路，进而逃逸宿主免疫反应的机理。</w:t>
      </w:r>
    </w:p>
    <w:p>
      <w:pPr>
        <w:pageBreakBefore w:val="0"/>
        <w:numPr>
          <w:ilvl w:val="0"/>
          <w:numId w:val="1"/>
        </w:numPr>
        <w:kinsoku/>
        <w:topLinePunct w:val="0"/>
        <w:bidi w:val="0"/>
        <w:spacing w:line="360" w:lineRule="auto"/>
        <w:ind w:left="210" w:leftChars="100" w:firstLine="482" w:firstLineChars="200"/>
        <w:rPr>
          <w:rFonts w:hint="default" w:ascii="Times New Roman" w:hAnsi="Times New Roman" w:cs="Times New Roman"/>
          <w:b/>
          <w:bCs/>
          <w:kern w:val="24"/>
          <w:sz w:val="24"/>
          <w:szCs w:val="24"/>
        </w:rPr>
      </w:pPr>
      <w:r>
        <w:rPr>
          <w:rFonts w:hint="default" w:ascii="Times New Roman" w:hAnsi="Times New Roman" w:cs="Times New Roman"/>
          <w:b/>
          <w:bCs/>
          <w:kern w:val="24"/>
          <w:sz w:val="24"/>
          <w:szCs w:val="24"/>
        </w:rPr>
        <w:t>证实了新发CV-A10和EV-D68免疫后的保护性免疫反应，为疫苗开发提供了候选抗原</w:t>
      </w:r>
    </w:p>
    <w:p>
      <w:pPr>
        <w:pageBreakBefore w:val="0"/>
        <w:kinsoku/>
        <w:topLinePunct w:val="0"/>
        <w:bidi w:val="0"/>
        <w:spacing w:line="360" w:lineRule="auto"/>
        <w:ind w:left="210" w:leftChars="100" w:firstLine="480" w:firstLineChars="200"/>
        <w:rPr>
          <w:rFonts w:hint="default" w:ascii="Times New Roman" w:hAnsi="Times New Roman" w:cs="Times New Roman"/>
          <w:kern w:val="24"/>
          <w:sz w:val="24"/>
          <w:szCs w:val="24"/>
          <w:highlight w:val="none"/>
        </w:rPr>
      </w:pPr>
      <w:r>
        <w:rPr>
          <w:rFonts w:hint="default" w:ascii="Times New Roman" w:hAnsi="Times New Roman" w:cs="Times New Roman"/>
          <w:kern w:val="24"/>
          <w:sz w:val="24"/>
          <w:szCs w:val="24"/>
        </w:rPr>
        <w:t>①系统分析了CV-A10病毒的生物学特征和CV-A10灭活疫苗的免疫原性</w:t>
      </w:r>
      <w:bookmarkStart w:id="6" w:name="OLE_LINK40"/>
      <w:r>
        <w:rPr>
          <w:rFonts w:hint="default" w:ascii="Times New Roman" w:hAnsi="Times New Roman" w:cs="Times New Roman"/>
          <w:kern w:val="24"/>
          <w:sz w:val="24"/>
          <w:szCs w:val="24"/>
        </w:rPr>
        <w:t>；</w:t>
      </w:r>
      <w:r>
        <w:rPr>
          <w:rFonts w:hint="default" w:ascii="Times New Roman" w:hAnsi="Times New Roman" w:cs="Times New Roman"/>
          <w:kern w:val="24"/>
          <w:sz w:val="24"/>
          <w:szCs w:val="24"/>
          <w:highlight w:val="none"/>
        </w:rPr>
        <w:t>②系统分析了EV-D68灭活疫苗的免疫原性，首次利用单个B细胞技术筛选出了针对EV-D68的单克隆抗体，揭示了体内抗体BCR进化特征，明确与中和抗体位点相关的EV-D68特异性抗原表位。</w:t>
      </w:r>
    </w:p>
    <w:bookmarkEnd w:id="6"/>
    <w:p>
      <w:pPr>
        <w:pageBreakBefore w:val="0"/>
        <w:kinsoku/>
        <w:topLinePunct w:val="0"/>
        <w:bidi w:val="0"/>
        <w:spacing w:line="360" w:lineRule="auto"/>
        <w:ind w:left="210" w:leftChars="100" w:firstLine="480" w:firstLineChars="200"/>
        <w:rPr>
          <w:rFonts w:hint="eastAsia" w:ascii="仿宋_GB2312" w:eastAsia="仿宋_GB2312"/>
          <w:b/>
          <w:bCs/>
          <w:sz w:val="24"/>
          <w:szCs w:val="24"/>
        </w:rPr>
      </w:pPr>
      <w:bookmarkStart w:id="7" w:name="OLE_LINK15"/>
      <w:bookmarkStart w:id="8" w:name="OLE_LINK7"/>
      <w:r>
        <w:rPr>
          <w:rFonts w:hint="default" w:ascii="Times New Roman" w:hAnsi="Times New Roman" w:cs="Times New Roman"/>
          <w:kern w:val="24"/>
          <w:sz w:val="24"/>
          <w:szCs w:val="24"/>
        </w:rPr>
        <w:t>上述研究不仅丰富了肠道病毒的致病机理，为肠道病毒感染的诊断和药物开发提供了新的靶标，也为进一步为开发多价肠道病毒疫苗奠定了坚实的基础</w:t>
      </w:r>
      <w:bookmarkEnd w:id="7"/>
      <w:r>
        <w:rPr>
          <w:rFonts w:hint="default" w:ascii="Times New Roman" w:hAnsi="Times New Roman" w:cs="Times New Roman"/>
          <w:kern w:val="24"/>
          <w:sz w:val="24"/>
          <w:szCs w:val="24"/>
        </w:rPr>
        <w:t>。上述相关研究成果已发表篇论文</w:t>
      </w:r>
      <w:r>
        <w:rPr>
          <w:rFonts w:hint="default" w:ascii="Times New Roman" w:hAnsi="Times New Roman" w:cs="Times New Roman"/>
          <w:kern w:val="24"/>
          <w:sz w:val="24"/>
          <w:szCs w:val="24"/>
          <w:lang w:val="en-US" w:eastAsia="zh-CN"/>
        </w:rPr>
        <w:t>19</w:t>
      </w:r>
      <w:r>
        <w:rPr>
          <w:rFonts w:hint="default" w:ascii="Times New Roman" w:hAnsi="Times New Roman" w:cs="Times New Roman"/>
          <w:kern w:val="24"/>
          <w:sz w:val="24"/>
          <w:szCs w:val="24"/>
        </w:rPr>
        <w:t>篇，其中SCI论文1</w:t>
      </w:r>
      <w:r>
        <w:rPr>
          <w:rFonts w:hint="default" w:ascii="Times New Roman" w:hAnsi="Times New Roman" w:cs="Times New Roman"/>
          <w:kern w:val="24"/>
          <w:sz w:val="24"/>
          <w:szCs w:val="24"/>
          <w:lang w:val="en-US" w:eastAsia="zh-CN"/>
        </w:rPr>
        <w:t>4</w:t>
      </w:r>
      <w:r>
        <w:rPr>
          <w:rFonts w:hint="default" w:ascii="Times New Roman" w:hAnsi="Times New Roman" w:cs="Times New Roman"/>
          <w:kern w:val="24"/>
          <w:sz w:val="24"/>
          <w:szCs w:val="24"/>
        </w:rPr>
        <w:t>篇，经中国医学科学院医学信息研究所检索，20篇核心论文他引种频次为</w:t>
      </w:r>
      <w:r>
        <w:rPr>
          <w:rFonts w:hint="default" w:ascii="Times New Roman" w:hAnsi="Times New Roman" w:cs="Times New Roman"/>
          <w:kern w:val="24"/>
          <w:sz w:val="24"/>
          <w:szCs w:val="24"/>
          <w:highlight w:val="none"/>
          <w:lang w:val="en-US" w:eastAsia="zh-CN"/>
        </w:rPr>
        <w:t>193</w:t>
      </w:r>
      <w:r>
        <w:rPr>
          <w:rFonts w:hint="default" w:ascii="Times New Roman" w:hAnsi="Times New Roman" w:cs="Times New Roman"/>
          <w:kern w:val="24"/>
          <w:sz w:val="24"/>
          <w:szCs w:val="24"/>
          <w:highlight w:val="none"/>
        </w:rPr>
        <w:t>次</w:t>
      </w:r>
      <w:r>
        <w:rPr>
          <w:rFonts w:hint="default" w:ascii="Times New Roman" w:hAnsi="Times New Roman" w:cs="Times New Roman"/>
          <w:kern w:val="24"/>
          <w:sz w:val="24"/>
          <w:szCs w:val="24"/>
        </w:rPr>
        <w:t>，包括</w:t>
      </w:r>
      <w:r>
        <w:rPr>
          <w:rFonts w:hint="default" w:ascii="Times New Roman" w:hAnsi="Times New Roman" w:cs="Times New Roman"/>
          <w:i/>
          <w:iCs/>
          <w:kern w:val="24"/>
          <w:sz w:val="24"/>
          <w:szCs w:val="24"/>
        </w:rPr>
        <w:t>Nature methods、Nature communications</w:t>
      </w:r>
      <w:r>
        <w:rPr>
          <w:rFonts w:hint="default" w:ascii="Times New Roman" w:hAnsi="Times New Roman" w:cs="Times New Roman"/>
          <w:kern w:val="24"/>
          <w:sz w:val="24"/>
          <w:szCs w:val="24"/>
        </w:rPr>
        <w:t>等高水平期刊的正面引用，</w:t>
      </w:r>
      <w:r>
        <w:rPr>
          <w:rFonts w:hint="default" w:ascii="Times New Roman" w:hAnsi="Times New Roman" w:cs="Times New Roman"/>
          <w:kern w:val="24"/>
          <w:sz w:val="24"/>
          <w:szCs w:val="24"/>
          <w:highlight w:val="none"/>
          <w:lang w:eastAsia="zh-CN"/>
        </w:rPr>
        <w:t>培养</w:t>
      </w:r>
      <w:r>
        <w:rPr>
          <w:rFonts w:hint="default" w:ascii="Times New Roman" w:hAnsi="Times New Roman" w:cs="Times New Roman"/>
          <w:kern w:val="24"/>
          <w:sz w:val="24"/>
          <w:szCs w:val="24"/>
          <w:highlight w:val="none"/>
          <w:lang w:val="en-US" w:eastAsia="zh-CN"/>
        </w:rPr>
        <w:t>6</w:t>
      </w:r>
      <w:r>
        <w:rPr>
          <w:rFonts w:hint="default" w:ascii="Times New Roman" w:hAnsi="Times New Roman" w:cs="Times New Roman"/>
          <w:kern w:val="24"/>
          <w:sz w:val="24"/>
          <w:szCs w:val="24"/>
          <w:highlight w:val="none"/>
          <w:lang w:eastAsia="zh-CN"/>
        </w:rPr>
        <w:t>名博士研究生和 1</w:t>
      </w:r>
      <w:r>
        <w:rPr>
          <w:rFonts w:hint="default" w:ascii="Times New Roman" w:hAnsi="Times New Roman" w:cs="Times New Roman"/>
          <w:kern w:val="24"/>
          <w:sz w:val="24"/>
          <w:szCs w:val="24"/>
          <w:highlight w:val="none"/>
          <w:lang w:val="en-US" w:eastAsia="zh-CN"/>
        </w:rPr>
        <w:t>6</w:t>
      </w:r>
      <w:r>
        <w:rPr>
          <w:rFonts w:hint="default" w:ascii="Times New Roman" w:hAnsi="Times New Roman" w:cs="Times New Roman"/>
          <w:kern w:val="24"/>
          <w:sz w:val="24"/>
          <w:szCs w:val="24"/>
          <w:highlight w:val="none"/>
          <w:lang w:eastAsia="zh-CN"/>
        </w:rPr>
        <w:t xml:space="preserve"> 名硕士研究生，</w:t>
      </w:r>
      <w:bookmarkEnd w:id="8"/>
      <w:r>
        <w:rPr>
          <w:rFonts w:hint="default" w:ascii="Times New Roman" w:hAnsi="Times New Roman" w:cs="Times New Roman"/>
          <w:kern w:val="24"/>
          <w:sz w:val="24"/>
          <w:szCs w:val="24"/>
          <w:highlight w:val="none"/>
          <w:lang w:val="en-US" w:eastAsia="zh-CN"/>
        </w:rPr>
        <w:t>培养了一批从事病毒免疫学基础研究、病毒性疫苗开发和评价的的专业人才。</w:t>
      </w:r>
      <w:bookmarkEnd w:id="2"/>
      <w:bookmarkEnd w:id="3"/>
    </w:p>
    <w:p>
      <w:pPr>
        <w:spacing w:line="560" w:lineRule="exact"/>
        <w:ind w:firstLine="480" w:firstLineChars="200"/>
        <w:rPr>
          <w:rFonts w:ascii="仿宋_GB2312" w:eastAsia="仿宋_GB2312"/>
          <w:sz w:val="24"/>
          <w:szCs w:val="24"/>
        </w:rPr>
      </w:pPr>
    </w:p>
    <w:p>
      <w:pPr>
        <w:spacing w:line="560" w:lineRule="exact"/>
        <w:rPr>
          <w:rFonts w:ascii="仿宋_GB2312" w:eastAsia="仿宋_GB2312"/>
          <w:sz w:val="24"/>
          <w:szCs w:val="24"/>
        </w:rPr>
      </w:pPr>
      <w:r>
        <w:rPr>
          <w:rFonts w:hint="eastAsia" w:ascii="仿宋_GB2312" w:eastAsia="仿宋_GB2312"/>
          <w:b/>
          <w:bCs/>
          <w:sz w:val="24"/>
          <w:szCs w:val="24"/>
        </w:rPr>
        <w:t>三、主要完成人基本情况</w:t>
      </w:r>
    </w:p>
    <w:tbl>
      <w:tblPr>
        <w:tblStyle w:val="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5"/>
        <w:gridCol w:w="997"/>
        <w:gridCol w:w="1353"/>
        <w:gridCol w:w="1435"/>
        <w:gridCol w:w="1399"/>
        <w:gridCol w:w="2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9" w:type="pct"/>
            <w:noWrap w:val="0"/>
            <w:vAlign w:val="center"/>
          </w:tcPr>
          <w:p>
            <w:pPr>
              <w:jc w:val="center"/>
              <w:rPr>
                <w:rFonts w:hint="eastAsia" w:ascii="宋体" w:hAnsi="宋体" w:cs="宋体"/>
                <w:bCs/>
                <w:sz w:val="21"/>
                <w:szCs w:val="21"/>
              </w:rPr>
            </w:pPr>
            <w:r>
              <w:rPr>
                <w:rFonts w:hint="eastAsia" w:ascii="宋体" w:hAnsi="宋体" w:cs="宋体"/>
                <w:bCs/>
                <w:sz w:val="21"/>
                <w:szCs w:val="21"/>
              </w:rPr>
              <w:t>序号</w:t>
            </w:r>
          </w:p>
        </w:tc>
        <w:tc>
          <w:tcPr>
            <w:tcW w:w="585" w:type="pct"/>
            <w:noWrap w:val="0"/>
            <w:vAlign w:val="center"/>
          </w:tcPr>
          <w:p>
            <w:pPr>
              <w:jc w:val="center"/>
              <w:rPr>
                <w:rFonts w:hint="eastAsia" w:ascii="宋体" w:hAnsi="宋体" w:cs="宋体"/>
                <w:bCs/>
                <w:sz w:val="21"/>
                <w:szCs w:val="21"/>
              </w:rPr>
            </w:pPr>
            <w:r>
              <w:rPr>
                <w:rFonts w:hint="eastAsia" w:ascii="宋体" w:hAnsi="宋体" w:cs="宋体"/>
                <w:bCs/>
                <w:sz w:val="21"/>
                <w:szCs w:val="21"/>
              </w:rPr>
              <w:t>姓名</w:t>
            </w:r>
          </w:p>
        </w:tc>
        <w:tc>
          <w:tcPr>
            <w:tcW w:w="794" w:type="pct"/>
            <w:noWrap w:val="0"/>
            <w:vAlign w:val="center"/>
          </w:tcPr>
          <w:p>
            <w:pPr>
              <w:jc w:val="center"/>
              <w:rPr>
                <w:rFonts w:hint="eastAsia" w:ascii="宋体" w:hAnsi="宋体" w:cs="宋体"/>
                <w:bCs/>
                <w:sz w:val="21"/>
                <w:szCs w:val="21"/>
              </w:rPr>
            </w:pPr>
            <w:r>
              <w:rPr>
                <w:rFonts w:hint="eastAsia" w:ascii="宋体" w:hAnsi="宋体" w:cs="宋体"/>
                <w:bCs/>
                <w:sz w:val="21"/>
                <w:szCs w:val="21"/>
              </w:rPr>
              <w:t>职称</w:t>
            </w:r>
          </w:p>
        </w:tc>
        <w:tc>
          <w:tcPr>
            <w:tcW w:w="842" w:type="pct"/>
            <w:noWrap w:val="0"/>
            <w:vAlign w:val="center"/>
          </w:tcPr>
          <w:p>
            <w:pPr>
              <w:jc w:val="center"/>
              <w:rPr>
                <w:rFonts w:hint="eastAsia" w:ascii="宋体" w:hAnsi="宋体" w:cs="宋体"/>
                <w:bCs/>
                <w:sz w:val="21"/>
                <w:szCs w:val="21"/>
              </w:rPr>
            </w:pPr>
            <w:r>
              <w:rPr>
                <w:rFonts w:hint="eastAsia" w:ascii="宋体" w:hAnsi="宋体" w:cs="宋体"/>
                <w:bCs/>
                <w:sz w:val="21"/>
                <w:szCs w:val="21"/>
              </w:rPr>
              <w:t>工作单位</w:t>
            </w:r>
          </w:p>
        </w:tc>
        <w:tc>
          <w:tcPr>
            <w:tcW w:w="821" w:type="pct"/>
            <w:noWrap w:val="0"/>
            <w:vAlign w:val="center"/>
          </w:tcPr>
          <w:p>
            <w:pPr>
              <w:jc w:val="center"/>
              <w:rPr>
                <w:rFonts w:hint="eastAsia" w:ascii="宋体" w:hAnsi="宋体" w:cs="宋体"/>
                <w:bCs/>
                <w:sz w:val="21"/>
                <w:szCs w:val="21"/>
              </w:rPr>
            </w:pPr>
            <w:bookmarkStart w:id="9" w:name="OLE_LINK14"/>
            <w:r>
              <w:rPr>
                <w:rFonts w:hint="eastAsia" w:ascii="宋体" w:hAnsi="宋体" w:cs="宋体"/>
                <w:bCs/>
                <w:sz w:val="21"/>
                <w:szCs w:val="21"/>
                <w:lang w:val="en-US" w:eastAsia="zh-CN"/>
              </w:rPr>
              <w:t>完成</w:t>
            </w:r>
            <w:r>
              <w:rPr>
                <w:rFonts w:hint="eastAsia" w:ascii="宋体" w:hAnsi="宋体" w:cs="宋体"/>
                <w:bCs/>
                <w:sz w:val="21"/>
                <w:szCs w:val="21"/>
              </w:rPr>
              <w:t>单位</w:t>
            </w:r>
            <w:bookmarkEnd w:id="9"/>
          </w:p>
        </w:tc>
        <w:tc>
          <w:tcPr>
            <w:tcW w:w="1608" w:type="pct"/>
            <w:noWrap w:val="0"/>
            <w:vAlign w:val="center"/>
          </w:tcPr>
          <w:p>
            <w:pPr>
              <w:jc w:val="center"/>
              <w:rPr>
                <w:rFonts w:hint="eastAsia" w:ascii="宋体" w:hAnsi="宋体" w:cs="宋体"/>
                <w:bCs/>
                <w:sz w:val="21"/>
                <w:szCs w:val="21"/>
              </w:rPr>
            </w:pPr>
            <w:r>
              <w:rPr>
                <w:rFonts w:hint="eastAsia" w:ascii="宋体" w:hAnsi="宋体" w:cs="宋体"/>
                <w:bCs/>
                <w:sz w:val="21"/>
                <w:szCs w:val="21"/>
              </w:rPr>
              <w:t>对成果创造性贡献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9" w:type="pct"/>
            <w:noWrap w:val="0"/>
            <w:vAlign w:val="center"/>
          </w:tcPr>
          <w:p>
            <w:pPr>
              <w:jc w:val="center"/>
              <w:rPr>
                <w:rFonts w:hint="eastAsia"/>
                <w:bCs/>
                <w:sz w:val="21"/>
                <w:szCs w:val="21"/>
              </w:rPr>
            </w:pPr>
            <w:bookmarkStart w:id="10" w:name="OLE_LINK8" w:colFirst="3" w:colLast="4"/>
            <w:r>
              <w:rPr>
                <w:rFonts w:hint="eastAsia"/>
                <w:bCs/>
                <w:sz w:val="21"/>
                <w:szCs w:val="21"/>
              </w:rPr>
              <w:t>1</w:t>
            </w:r>
          </w:p>
        </w:tc>
        <w:tc>
          <w:tcPr>
            <w:tcW w:w="585" w:type="pct"/>
            <w:noWrap w:val="0"/>
            <w:vAlign w:val="center"/>
          </w:tcPr>
          <w:p>
            <w:pPr>
              <w:adjustRightInd w:val="0"/>
              <w:snapToGrid w:val="0"/>
              <w:jc w:val="center"/>
              <w:rPr>
                <w:color w:val="000000"/>
                <w:kern w:val="0"/>
                <w:sz w:val="21"/>
                <w:szCs w:val="21"/>
              </w:rPr>
            </w:pPr>
            <w:r>
              <w:rPr>
                <w:rFonts w:hint="eastAsia"/>
                <w:color w:val="000000"/>
                <w:kern w:val="0"/>
                <w:sz w:val="21"/>
                <w:szCs w:val="21"/>
              </w:rPr>
              <w:t>宋杰</w:t>
            </w:r>
          </w:p>
        </w:tc>
        <w:tc>
          <w:tcPr>
            <w:tcW w:w="794" w:type="pct"/>
            <w:noWrap w:val="0"/>
            <w:vAlign w:val="center"/>
          </w:tcPr>
          <w:p>
            <w:pPr>
              <w:adjustRightInd w:val="0"/>
              <w:snapToGrid w:val="0"/>
              <w:jc w:val="center"/>
              <w:rPr>
                <w:kern w:val="0"/>
                <w:sz w:val="21"/>
                <w:szCs w:val="21"/>
              </w:rPr>
            </w:pPr>
            <w:bookmarkStart w:id="11" w:name="OLE_LINK5"/>
            <w:r>
              <w:rPr>
                <w:rFonts w:hint="eastAsia"/>
                <w:kern w:val="0"/>
                <w:sz w:val="21"/>
                <w:szCs w:val="21"/>
              </w:rPr>
              <w:t>副研究员</w:t>
            </w:r>
            <w:bookmarkEnd w:id="11"/>
          </w:p>
        </w:tc>
        <w:tc>
          <w:tcPr>
            <w:tcW w:w="842" w:type="pct"/>
            <w:noWrap w:val="0"/>
            <w:vAlign w:val="center"/>
          </w:tcPr>
          <w:p>
            <w:pPr>
              <w:adjustRightInd w:val="0"/>
              <w:snapToGrid w:val="0"/>
              <w:jc w:val="center"/>
              <w:rPr>
                <w:rFonts w:hint="eastAsia"/>
                <w:kern w:val="0"/>
                <w:sz w:val="21"/>
                <w:szCs w:val="21"/>
              </w:rPr>
            </w:pPr>
            <w:r>
              <w:rPr>
                <w:rFonts w:hint="eastAsia"/>
                <w:bCs/>
                <w:sz w:val="21"/>
                <w:szCs w:val="21"/>
              </w:rPr>
              <w:t>中国医学科学院医学生物学研究所</w:t>
            </w:r>
          </w:p>
        </w:tc>
        <w:tc>
          <w:tcPr>
            <w:tcW w:w="821" w:type="pct"/>
            <w:noWrap w:val="0"/>
            <w:vAlign w:val="center"/>
          </w:tcPr>
          <w:p>
            <w:pPr>
              <w:adjustRightInd w:val="0"/>
              <w:snapToGrid w:val="0"/>
              <w:jc w:val="center"/>
              <w:rPr>
                <w:rFonts w:hint="eastAsia"/>
                <w:bCs/>
                <w:sz w:val="21"/>
                <w:szCs w:val="21"/>
              </w:rPr>
            </w:pPr>
            <w:bookmarkStart w:id="12" w:name="OLE_LINK17"/>
            <w:r>
              <w:rPr>
                <w:rFonts w:hint="eastAsia"/>
                <w:bCs/>
                <w:sz w:val="21"/>
                <w:szCs w:val="21"/>
              </w:rPr>
              <w:t>中国医学科学院医学生物学研究所</w:t>
            </w:r>
            <w:bookmarkEnd w:id="12"/>
          </w:p>
        </w:tc>
        <w:tc>
          <w:tcPr>
            <w:tcW w:w="1608" w:type="pct"/>
            <w:noWrap w:val="0"/>
            <w:vAlign w:val="center"/>
          </w:tcPr>
          <w:p>
            <w:pPr>
              <w:widowControl/>
              <w:jc w:val="center"/>
              <w:textAlignment w:val="center"/>
              <w:rPr>
                <w:rFonts w:hint="default" w:eastAsia="宋体"/>
                <w:bCs/>
                <w:sz w:val="21"/>
                <w:szCs w:val="21"/>
                <w:lang w:val="en-US" w:eastAsia="zh-CN"/>
              </w:rPr>
            </w:pPr>
            <w:r>
              <w:rPr>
                <w:rFonts w:hint="eastAsia"/>
                <w:bCs/>
                <w:sz w:val="21"/>
                <w:szCs w:val="21"/>
                <w:lang w:val="en-US" w:eastAsia="zh-CN"/>
              </w:rPr>
              <w:t>项目负责人，创新点1中①②④，2中①②中的主要发现者</w:t>
            </w:r>
          </w:p>
        </w:tc>
      </w:tr>
      <w:bookmarkEnd w:id="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9" w:type="pct"/>
            <w:noWrap w:val="0"/>
            <w:vAlign w:val="center"/>
          </w:tcPr>
          <w:p>
            <w:pPr>
              <w:jc w:val="center"/>
              <w:rPr>
                <w:rFonts w:hint="eastAsia" w:eastAsiaTheme="minorEastAsia"/>
                <w:bCs/>
                <w:sz w:val="21"/>
                <w:szCs w:val="21"/>
                <w:lang w:val="en-US" w:eastAsia="zh-CN"/>
              </w:rPr>
            </w:pPr>
            <w:r>
              <w:rPr>
                <w:rFonts w:hint="eastAsia"/>
                <w:bCs/>
                <w:sz w:val="21"/>
                <w:szCs w:val="21"/>
                <w:lang w:val="en-US" w:eastAsia="zh-CN"/>
              </w:rPr>
              <w:t>2</w:t>
            </w:r>
          </w:p>
        </w:tc>
        <w:tc>
          <w:tcPr>
            <w:tcW w:w="585" w:type="pct"/>
            <w:noWrap w:val="0"/>
            <w:vAlign w:val="center"/>
          </w:tcPr>
          <w:p>
            <w:pPr>
              <w:adjustRightInd w:val="0"/>
              <w:snapToGrid w:val="0"/>
              <w:jc w:val="center"/>
              <w:rPr>
                <w:rFonts w:hint="eastAsia" w:eastAsiaTheme="minorEastAsia"/>
                <w:kern w:val="0"/>
                <w:sz w:val="21"/>
                <w:szCs w:val="21"/>
                <w:lang w:val="en-US" w:eastAsia="zh-CN"/>
              </w:rPr>
            </w:pPr>
            <w:r>
              <w:rPr>
                <w:rFonts w:hint="eastAsia"/>
                <w:kern w:val="0"/>
                <w:sz w:val="21"/>
                <w:szCs w:val="21"/>
                <w:lang w:val="en-US" w:eastAsia="zh-CN"/>
              </w:rPr>
              <w:t>郑惠文</w:t>
            </w:r>
          </w:p>
        </w:tc>
        <w:tc>
          <w:tcPr>
            <w:tcW w:w="794" w:type="pct"/>
            <w:noWrap w:val="0"/>
            <w:vAlign w:val="center"/>
          </w:tcPr>
          <w:p>
            <w:pPr>
              <w:adjustRightInd w:val="0"/>
              <w:snapToGrid w:val="0"/>
              <w:jc w:val="center"/>
              <w:rPr>
                <w:rFonts w:hint="eastAsia"/>
                <w:kern w:val="0"/>
                <w:sz w:val="21"/>
                <w:szCs w:val="21"/>
              </w:rPr>
            </w:pPr>
            <w:r>
              <w:rPr>
                <w:rFonts w:hint="eastAsia"/>
                <w:kern w:val="0"/>
                <w:sz w:val="21"/>
                <w:szCs w:val="21"/>
              </w:rPr>
              <w:t>副研究员</w:t>
            </w:r>
          </w:p>
        </w:tc>
        <w:tc>
          <w:tcPr>
            <w:tcW w:w="842" w:type="pct"/>
            <w:noWrap w:val="0"/>
            <w:vAlign w:val="center"/>
          </w:tcPr>
          <w:p>
            <w:pPr>
              <w:adjustRightInd w:val="0"/>
              <w:snapToGrid w:val="0"/>
              <w:jc w:val="center"/>
              <w:rPr>
                <w:rFonts w:hint="eastAsia"/>
                <w:bCs/>
                <w:sz w:val="21"/>
                <w:szCs w:val="21"/>
              </w:rPr>
            </w:pPr>
            <w:r>
              <w:rPr>
                <w:rFonts w:hint="eastAsia"/>
                <w:bCs/>
                <w:sz w:val="21"/>
                <w:szCs w:val="21"/>
              </w:rPr>
              <w:t>中国医学科学院医学生物学研究所</w:t>
            </w:r>
          </w:p>
        </w:tc>
        <w:tc>
          <w:tcPr>
            <w:tcW w:w="821" w:type="pct"/>
            <w:noWrap w:val="0"/>
            <w:vAlign w:val="center"/>
          </w:tcPr>
          <w:p>
            <w:pPr>
              <w:adjustRightInd w:val="0"/>
              <w:snapToGrid w:val="0"/>
              <w:jc w:val="center"/>
              <w:rPr>
                <w:rFonts w:hint="eastAsia"/>
                <w:bCs/>
                <w:sz w:val="21"/>
                <w:szCs w:val="21"/>
              </w:rPr>
            </w:pPr>
            <w:r>
              <w:rPr>
                <w:rFonts w:hint="eastAsia"/>
                <w:bCs/>
                <w:sz w:val="21"/>
                <w:szCs w:val="21"/>
              </w:rPr>
              <w:t>中国医学科学院医学生物学研究所</w:t>
            </w:r>
          </w:p>
        </w:tc>
        <w:tc>
          <w:tcPr>
            <w:tcW w:w="1608" w:type="pct"/>
            <w:noWrap w:val="0"/>
            <w:vAlign w:val="center"/>
          </w:tcPr>
          <w:p>
            <w:pPr>
              <w:widowControl/>
              <w:adjustRightInd w:val="0"/>
              <w:snapToGrid w:val="0"/>
              <w:jc w:val="center"/>
              <w:rPr>
                <w:rFonts w:hint="eastAsia"/>
                <w:bCs/>
                <w:sz w:val="21"/>
                <w:szCs w:val="21"/>
                <w:lang w:val="en-US" w:eastAsia="zh-CN"/>
              </w:rPr>
            </w:pPr>
            <w:r>
              <w:rPr>
                <w:rFonts w:hint="eastAsia"/>
                <w:bCs/>
                <w:sz w:val="21"/>
                <w:szCs w:val="21"/>
                <w:lang w:val="en-US" w:eastAsia="zh-CN"/>
              </w:rPr>
              <w:t>主要参与人，创新点1中①④，2中⑤，3中①②的主要发现者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9" w:type="pct"/>
            <w:noWrap w:val="0"/>
            <w:vAlign w:val="center"/>
          </w:tcPr>
          <w:p>
            <w:pPr>
              <w:jc w:val="center"/>
              <w:rPr>
                <w:rFonts w:hint="eastAsia"/>
                <w:bCs/>
                <w:sz w:val="21"/>
                <w:szCs w:val="21"/>
              </w:rPr>
            </w:pPr>
            <w:r>
              <w:rPr>
                <w:rFonts w:hint="eastAsia"/>
                <w:bCs/>
                <w:sz w:val="21"/>
                <w:szCs w:val="21"/>
              </w:rPr>
              <w:t>3</w:t>
            </w:r>
          </w:p>
        </w:tc>
        <w:tc>
          <w:tcPr>
            <w:tcW w:w="585" w:type="pct"/>
            <w:noWrap w:val="0"/>
            <w:vAlign w:val="center"/>
          </w:tcPr>
          <w:p>
            <w:pPr>
              <w:adjustRightInd w:val="0"/>
              <w:snapToGrid w:val="0"/>
              <w:jc w:val="center"/>
              <w:rPr>
                <w:kern w:val="0"/>
                <w:sz w:val="21"/>
                <w:szCs w:val="21"/>
              </w:rPr>
            </w:pPr>
            <w:r>
              <w:rPr>
                <w:rFonts w:hint="eastAsia"/>
                <w:kern w:val="0"/>
                <w:sz w:val="21"/>
                <w:szCs w:val="21"/>
              </w:rPr>
              <w:t>李恒</w:t>
            </w:r>
          </w:p>
        </w:tc>
        <w:tc>
          <w:tcPr>
            <w:tcW w:w="794" w:type="pct"/>
            <w:noWrap w:val="0"/>
            <w:vAlign w:val="center"/>
          </w:tcPr>
          <w:p>
            <w:pPr>
              <w:adjustRightInd w:val="0"/>
              <w:snapToGrid w:val="0"/>
              <w:jc w:val="center"/>
              <w:rPr>
                <w:kern w:val="0"/>
                <w:sz w:val="21"/>
                <w:szCs w:val="21"/>
              </w:rPr>
            </w:pPr>
            <w:r>
              <w:rPr>
                <w:rFonts w:hint="eastAsia"/>
                <w:kern w:val="0"/>
                <w:sz w:val="21"/>
                <w:szCs w:val="21"/>
              </w:rPr>
              <w:t>副研究员</w:t>
            </w:r>
          </w:p>
        </w:tc>
        <w:tc>
          <w:tcPr>
            <w:tcW w:w="842" w:type="pct"/>
            <w:noWrap w:val="0"/>
            <w:vAlign w:val="center"/>
          </w:tcPr>
          <w:p>
            <w:pPr>
              <w:adjustRightInd w:val="0"/>
              <w:snapToGrid w:val="0"/>
              <w:jc w:val="center"/>
              <w:rPr>
                <w:rFonts w:hint="eastAsia"/>
                <w:kern w:val="0"/>
                <w:sz w:val="21"/>
                <w:szCs w:val="21"/>
              </w:rPr>
            </w:pPr>
            <w:r>
              <w:rPr>
                <w:rFonts w:hint="eastAsia"/>
                <w:bCs/>
                <w:sz w:val="21"/>
                <w:szCs w:val="21"/>
              </w:rPr>
              <w:t>中国医学科学院医学生物学研究所</w:t>
            </w:r>
          </w:p>
        </w:tc>
        <w:tc>
          <w:tcPr>
            <w:tcW w:w="821" w:type="pct"/>
            <w:noWrap w:val="0"/>
            <w:vAlign w:val="center"/>
          </w:tcPr>
          <w:p>
            <w:pPr>
              <w:adjustRightInd w:val="0"/>
              <w:snapToGrid w:val="0"/>
              <w:jc w:val="center"/>
              <w:rPr>
                <w:kern w:val="0"/>
                <w:sz w:val="21"/>
                <w:szCs w:val="21"/>
              </w:rPr>
            </w:pPr>
            <w:r>
              <w:rPr>
                <w:rFonts w:hint="eastAsia"/>
                <w:bCs/>
                <w:sz w:val="21"/>
                <w:szCs w:val="21"/>
              </w:rPr>
              <w:t>中国医学科学院医学生物学研究所</w:t>
            </w:r>
          </w:p>
        </w:tc>
        <w:tc>
          <w:tcPr>
            <w:tcW w:w="1608" w:type="pct"/>
            <w:noWrap w:val="0"/>
            <w:vAlign w:val="center"/>
          </w:tcPr>
          <w:p>
            <w:pPr>
              <w:widowControl/>
              <w:adjustRightInd w:val="0"/>
              <w:snapToGrid w:val="0"/>
              <w:jc w:val="center"/>
              <w:rPr>
                <w:snapToGrid w:val="0"/>
                <w:color w:val="000000"/>
                <w:kern w:val="0"/>
                <w:sz w:val="21"/>
                <w:szCs w:val="21"/>
              </w:rPr>
            </w:pPr>
            <w:r>
              <w:rPr>
                <w:rFonts w:hint="eastAsia"/>
                <w:bCs/>
                <w:sz w:val="21"/>
                <w:szCs w:val="21"/>
                <w:lang w:val="en-US" w:eastAsia="zh-CN"/>
              </w:rPr>
              <w:t>主要参与人，创新点1中</w:t>
            </w:r>
            <w:bookmarkStart w:id="13" w:name="OLE_LINK20"/>
            <w:r>
              <w:rPr>
                <w:rFonts w:hint="eastAsia"/>
                <w:bCs/>
                <w:sz w:val="21"/>
                <w:szCs w:val="21"/>
                <w:lang w:val="en-US" w:eastAsia="zh-CN"/>
              </w:rPr>
              <w:t>③</w:t>
            </w:r>
            <w:bookmarkEnd w:id="13"/>
            <w:r>
              <w:rPr>
                <w:rFonts w:hint="eastAsia"/>
                <w:bCs/>
                <w:sz w:val="21"/>
                <w:szCs w:val="21"/>
                <w:lang w:val="en-US" w:eastAsia="zh-CN"/>
              </w:rPr>
              <w:t>，2中⑤中的主要发现者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9" w:type="pct"/>
            <w:noWrap w:val="0"/>
            <w:vAlign w:val="center"/>
          </w:tcPr>
          <w:p>
            <w:pPr>
              <w:jc w:val="center"/>
              <w:rPr>
                <w:rFonts w:hint="eastAsia"/>
                <w:bCs/>
                <w:sz w:val="21"/>
                <w:szCs w:val="21"/>
              </w:rPr>
            </w:pPr>
            <w:r>
              <w:rPr>
                <w:rFonts w:hint="eastAsia"/>
                <w:bCs/>
                <w:sz w:val="21"/>
                <w:szCs w:val="21"/>
              </w:rPr>
              <w:t>4</w:t>
            </w:r>
          </w:p>
        </w:tc>
        <w:tc>
          <w:tcPr>
            <w:tcW w:w="585" w:type="pct"/>
            <w:noWrap w:val="0"/>
            <w:vAlign w:val="center"/>
          </w:tcPr>
          <w:p>
            <w:pPr>
              <w:adjustRightInd w:val="0"/>
              <w:snapToGrid w:val="0"/>
              <w:jc w:val="center"/>
              <w:rPr>
                <w:rFonts w:hint="eastAsia"/>
                <w:kern w:val="0"/>
                <w:sz w:val="21"/>
                <w:szCs w:val="21"/>
              </w:rPr>
            </w:pPr>
            <w:r>
              <w:rPr>
                <w:rFonts w:hint="eastAsia"/>
                <w:kern w:val="0"/>
                <w:sz w:val="21"/>
                <w:szCs w:val="21"/>
              </w:rPr>
              <w:t>胡雅洁</w:t>
            </w:r>
          </w:p>
        </w:tc>
        <w:tc>
          <w:tcPr>
            <w:tcW w:w="794" w:type="pct"/>
            <w:noWrap w:val="0"/>
            <w:vAlign w:val="center"/>
          </w:tcPr>
          <w:p>
            <w:pPr>
              <w:adjustRightInd w:val="0"/>
              <w:snapToGrid w:val="0"/>
              <w:jc w:val="center"/>
              <w:rPr>
                <w:kern w:val="0"/>
                <w:sz w:val="21"/>
                <w:szCs w:val="21"/>
              </w:rPr>
            </w:pPr>
            <w:r>
              <w:rPr>
                <w:rFonts w:hint="eastAsia"/>
                <w:kern w:val="0"/>
                <w:sz w:val="21"/>
                <w:szCs w:val="21"/>
              </w:rPr>
              <w:t>副研究员</w:t>
            </w:r>
          </w:p>
        </w:tc>
        <w:tc>
          <w:tcPr>
            <w:tcW w:w="842" w:type="pct"/>
            <w:noWrap w:val="0"/>
            <w:vAlign w:val="center"/>
          </w:tcPr>
          <w:p>
            <w:pPr>
              <w:adjustRightInd w:val="0"/>
              <w:snapToGrid w:val="0"/>
              <w:jc w:val="center"/>
              <w:rPr>
                <w:rFonts w:hint="default" w:eastAsiaTheme="minorEastAsia"/>
                <w:kern w:val="0"/>
                <w:sz w:val="21"/>
                <w:szCs w:val="21"/>
                <w:lang w:val="en-US" w:eastAsia="zh-CN"/>
              </w:rPr>
            </w:pPr>
            <w:r>
              <w:rPr>
                <w:rFonts w:hint="eastAsia"/>
                <w:bCs/>
                <w:sz w:val="21"/>
                <w:szCs w:val="21"/>
                <w:lang w:val="en-US" w:eastAsia="zh-CN"/>
              </w:rPr>
              <w:t>云南省第一人民医院</w:t>
            </w:r>
          </w:p>
        </w:tc>
        <w:tc>
          <w:tcPr>
            <w:tcW w:w="821" w:type="pct"/>
            <w:noWrap w:val="0"/>
            <w:vAlign w:val="center"/>
          </w:tcPr>
          <w:p>
            <w:pPr>
              <w:adjustRightInd w:val="0"/>
              <w:snapToGrid w:val="0"/>
              <w:jc w:val="center"/>
              <w:rPr>
                <w:kern w:val="0"/>
                <w:sz w:val="21"/>
                <w:szCs w:val="21"/>
              </w:rPr>
            </w:pPr>
            <w:r>
              <w:rPr>
                <w:rFonts w:hint="eastAsia"/>
                <w:bCs/>
                <w:sz w:val="21"/>
                <w:szCs w:val="21"/>
              </w:rPr>
              <w:t>中国医学科学院医学生物学研究所</w:t>
            </w:r>
          </w:p>
        </w:tc>
        <w:tc>
          <w:tcPr>
            <w:tcW w:w="1608" w:type="pct"/>
            <w:noWrap w:val="0"/>
            <w:vAlign w:val="center"/>
          </w:tcPr>
          <w:p>
            <w:pPr>
              <w:widowControl/>
              <w:adjustRightInd w:val="0"/>
              <w:snapToGrid w:val="0"/>
              <w:jc w:val="center"/>
              <w:rPr>
                <w:snapToGrid w:val="0"/>
                <w:color w:val="000000"/>
                <w:kern w:val="0"/>
                <w:sz w:val="21"/>
                <w:szCs w:val="21"/>
              </w:rPr>
            </w:pPr>
            <w:r>
              <w:rPr>
                <w:rFonts w:hint="eastAsia"/>
                <w:bCs/>
                <w:sz w:val="21"/>
                <w:szCs w:val="21"/>
                <w:lang w:val="en-US" w:eastAsia="zh-CN"/>
              </w:rPr>
              <w:t>主要参与人，创新点1中②④，2中④中的主要发现者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9" w:type="pct"/>
            <w:noWrap w:val="0"/>
            <w:vAlign w:val="center"/>
          </w:tcPr>
          <w:p>
            <w:pPr>
              <w:jc w:val="center"/>
              <w:rPr>
                <w:rFonts w:hint="eastAsia"/>
                <w:bCs/>
                <w:sz w:val="21"/>
                <w:szCs w:val="21"/>
              </w:rPr>
            </w:pPr>
            <w:r>
              <w:rPr>
                <w:rFonts w:hint="eastAsia"/>
                <w:bCs/>
                <w:sz w:val="21"/>
                <w:szCs w:val="21"/>
              </w:rPr>
              <w:t>5</w:t>
            </w:r>
          </w:p>
        </w:tc>
        <w:tc>
          <w:tcPr>
            <w:tcW w:w="585" w:type="pct"/>
            <w:noWrap w:val="0"/>
            <w:vAlign w:val="center"/>
          </w:tcPr>
          <w:p>
            <w:pPr>
              <w:adjustRightInd w:val="0"/>
              <w:snapToGrid w:val="0"/>
              <w:jc w:val="center"/>
              <w:rPr>
                <w:kern w:val="0"/>
                <w:sz w:val="21"/>
                <w:szCs w:val="21"/>
              </w:rPr>
            </w:pPr>
            <w:r>
              <w:rPr>
                <w:rFonts w:hint="eastAsia"/>
                <w:kern w:val="0"/>
                <w:sz w:val="21"/>
                <w:szCs w:val="21"/>
              </w:rPr>
              <w:t>胡云光</w:t>
            </w:r>
          </w:p>
        </w:tc>
        <w:tc>
          <w:tcPr>
            <w:tcW w:w="794" w:type="pct"/>
            <w:noWrap w:val="0"/>
            <w:vAlign w:val="center"/>
          </w:tcPr>
          <w:p>
            <w:pPr>
              <w:adjustRightInd w:val="0"/>
              <w:snapToGrid w:val="0"/>
              <w:jc w:val="center"/>
              <w:rPr>
                <w:kern w:val="0"/>
                <w:sz w:val="21"/>
                <w:szCs w:val="21"/>
              </w:rPr>
            </w:pPr>
            <w:r>
              <w:rPr>
                <w:rFonts w:hint="eastAsia"/>
                <w:kern w:val="0"/>
                <w:sz w:val="21"/>
                <w:szCs w:val="21"/>
              </w:rPr>
              <w:t>副研究员</w:t>
            </w:r>
          </w:p>
        </w:tc>
        <w:tc>
          <w:tcPr>
            <w:tcW w:w="842" w:type="pct"/>
            <w:noWrap w:val="0"/>
            <w:vAlign w:val="center"/>
          </w:tcPr>
          <w:p>
            <w:pPr>
              <w:adjustRightInd w:val="0"/>
              <w:snapToGrid w:val="0"/>
              <w:jc w:val="center"/>
              <w:rPr>
                <w:rFonts w:hint="eastAsia"/>
                <w:kern w:val="0"/>
                <w:sz w:val="21"/>
                <w:szCs w:val="21"/>
              </w:rPr>
            </w:pPr>
            <w:r>
              <w:rPr>
                <w:rFonts w:hint="eastAsia"/>
                <w:bCs/>
                <w:sz w:val="21"/>
                <w:szCs w:val="21"/>
              </w:rPr>
              <w:t>中国医学科学院医学生物学研究所</w:t>
            </w:r>
          </w:p>
        </w:tc>
        <w:tc>
          <w:tcPr>
            <w:tcW w:w="821" w:type="pct"/>
            <w:noWrap w:val="0"/>
            <w:vAlign w:val="center"/>
          </w:tcPr>
          <w:p>
            <w:pPr>
              <w:adjustRightInd w:val="0"/>
              <w:snapToGrid w:val="0"/>
              <w:jc w:val="center"/>
              <w:rPr>
                <w:kern w:val="0"/>
                <w:sz w:val="21"/>
                <w:szCs w:val="21"/>
              </w:rPr>
            </w:pPr>
            <w:r>
              <w:rPr>
                <w:rFonts w:hint="eastAsia"/>
                <w:bCs/>
                <w:sz w:val="21"/>
                <w:szCs w:val="21"/>
              </w:rPr>
              <w:t>中国医学科学院医学生物学研究所</w:t>
            </w:r>
          </w:p>
        </w:tc>
        <w:tc>
          <w:tcPr>
            <w:tcW w:w="1608" w:type="pct"/>
            <w:noWrap w:val="0"/>
            <w:vAlign w:val="center"/>
          </w:tcPr>
          <w:p>
            <w:pPr>
              <w:widowControl/>
              <w:adjustRightInd w:val="0"/>
              <w:snapToGrid w:val="0"/>
              <w:jc w:val="center"/>
              <w:rPr>
                <w:rFonts w:hint="default"/>
                <w:snapToGrid w:val="0"/>
                <w:color w:val="000000"/>
                <w:kern w:val="0"/>
                <w:sz w:val="21"/>
                <w:szCs w:val="21"/>
                <w:lang w:val="en-US"/>
              </w:rPr>
            </w:pPr>
            <w:r>
              <w:rPr>
                <w:rFonts w:hint="eastAsia"/>
                <w:bCs/>
                <w:sz w:val="21"/>
                <w:szCs w:val="21"/>
                <w:lang w:val="en-US" w:eastAsia="zh-CN"/>
              </w:rPr>
              <w:t>主要参与人，创新点1中</w:t>
            </w:r>
            <w:bookmarkStart w:id="14" w:name="OLE_LINK19"/>
            <w:r>
              <w:rPr>
                <w:rFonts w:hint="eastAsia"/>
                <w:bCs/>
                <w:sz w:val="21"/>
                <w:szCs w:val="21"/>
                <w:lang w:val="en-US" w:eastAsia="zh-CN"/>
              </w:rPr>
              <w:t>①②</w:t>
            </w:r>
            <w:bookmarkEnd w:id="14"/>
            <w:r>
              <w:rPr>
                <w:rFonts w:hint="eastAsia"/>
                <w:bCs/>
                <w:sz w:val="21"/>
                <w:szCs w:val="21"/>
                <w:lang w:val="en-US" w:eastAsia="zh-CN"/>
              </w:rPr>
              <w:t>的主要参与者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9" w:type="pct"/>
            <w:noWrap w:val="0"/>
            <w:vAlign w:val="center"/>
          </w:tcPr>
          <w:p>
            <w:pPr>
              <w:jc w:val="center"/>
              <w:rPr>
                <w:rFonts w:hint="eastAsia"/>
                <w:bCs/>
                <w:sz w:val="21"/>
                <w:szCs w:val="21"/>
              </w:rPr>
            </w:pPr>
            <w:r>
              <w:rPr>
                <w:rFonts w:hint="eastAsia"/>
                <w:bCs/>
                <w:sz w:val="21"/>
                <w:szCs w:val="21"/>
              </w:rPr>
              <w:t>6</w:t>
            </w:r>
          </w:p>
        </w:tc>
        <w:tc>
          <w:tcPr>
            <w:tcW w:w="585" w:type="pct"/>
            <w:noWrap w:val="0"/>
            <w:vAlign w:val="center"/>
          </w:tcPr>
          <w:p>
            <w:pPr>
              <w:adjustRightInd w:val="0"/>
              <w:snapToGrid w:val="0"/>
              <w:jc w:val="center"/>
              <w:rPr>
                <w:kern w:val="0"/>
                <w:sz w:val="21"/>
                <w:szCs w:val="21"/>
              </w:rPr>
            </w:pPr>
            <w:r>
              <w:rPr>
                <w:rFonts w:hint="eastAsia"/>
                <w:kern w:val="0"/>
                <w:sz w:val="21"/>
                <w:szCs w:val="21"/>
              </w:rPr>
              <w:t>赵恒</w:t>
            </w:r>
          </w:p>
        </w:tc>
        <w:tc>
          <w:tcPr>
            <w:tcW w:w="794" w:type="pct"/>
            <w:noWrap w:val="0"/>
            <w:vAlign w:val="center"/>
          </w:tcPr>
          <w:p>
            <w:pPr>
              <w:adjustRightInd w:val="0"/>
              <w:snapToGrid w:val="0"/>
              <w:jc w:val="center"/>
              <w:rPr>
                <w:kern w:val="0"/>
                <w:sz w:val="21"/>
                <w:szCs w:val="21"/>
              </w:rPr>
            </w:pPr>
            <w:r>
              <w:rPr>
                <w:rFonts w:hint="eastAsia"/>
                <w:kern w:val="0"/>
                <w:sz w:val="21"/>
                <w:szCs w:val="21"/>
              </w:rPr>
              <w:t>助理研究员</w:t>
            </w:r>
          </w:p>
        </w:tc>
        <w:tc>
          <w:tcPr>
            <w:tcW w:w="842" w:type="pct"/>
            <w:noWrap w:val="0"/>
            <w:vAlign w:val="center"/>
          </w:tcPr>
          <w:p>
            <w:pPr>
              <w:adjustRightInd w:val="0"/>
              <w:snapToGrid w:val="0"/>
              <w:jc w:val="center"/>
              <w:rPr>
                <w:rFonts w:hint="eastAsia"/>
                <w:kern w:val="0"/>
                <w:sz w:val="21"/>
                <w:szCs w:val="21"/>
              </w:rPr>
            </w:pPr>
            <w:r>
              <w:rPr>
                <w:rFonts w:hint="eastAsia"/>
                <w:bCs/>
                <w:sz w:val="21"/>
                <w:szCs w:val="21"/>
              </w:rPr>
              <w:t>中国医学科学院医学生物学研究所</w:t>
            </w:r>
          </w:p>
        </w:tc>
        <w:tc>
          <w:tcPr>
            <w:tcW w:w="821" w:type="pct"/>
            <w:noWrap w:val="0"/>
            <w:vAlign w:val="center"/>
          </w:tcPr>
          <w:p>
            <w:pPr>
              <w:adjustRightInd w:val="0"/>
              <w:snapToGrid w:val="0"/>
              <w:jc w:val="center"/>
              <w:rPr>
                <w:kern w:val="0"/>
                <w:sz w:val="21"/>
                <w:szCs w:val="21"/>
              </w:rPr>
            </w:pPr>
            <w:r>
              <w:rPr>
                <w:rFonts w:hint="eastAsia"/>
                <w:bCs/>
                <w:sz w:val="21"/>
                <w:szCs w:val="21"/>
              </w:rPr>
              <w:t>中国医学科学院医学生物学研究所</w:t>
            </w:r>
          </w:p>
        </w:tc>
        <w:tc>
          <w:tcPr>
            <w:tcW w:w="1608" w:type="pct"/>
            <w:noWrap w:val="0"/>
            <w:vAlign w:val="center"/>
          </w:tcPr>
          <w:p>
            <w:pPr>
              <w:widowControl/>
              <w:adjustRightInd w:val="0"/>
              <w:snapToGrid w:val="0"/>
              <w:jc w:val="center"/>
              <w:rPr>
                <w:rFonts w:hint="default"/>
                <w:snapToGrid w:val="0"/>
                <w:color w:val="000000"/>
                <w:kern w:val="0"/>
                <w:sz w:val="21"/>
                <w:szCs w:val="21"/>
                <w:lang w:val="en-US"/>
              </w:rPr>
            </w:pPr>
            <w:r>
              <w:rPr>
                <w:rFonts w:hint="eastAsia"/>
                <w:bCs/>
                <w:sz w:val="21"/>
                <w:szCs w:val="21"/>
                <w:lang w:val="en-US" w:eastAsia="zh-CN"/>
              </w:rPr>
              <w:t>主要参与人，创新点2中⑤，3中①②的主要参与者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9" w:type="pct"/>
            <w:noWrap w:val="0"/>
            <w:vAlign w:val="center"/>
          </w:tcPr>
          <w:p>
            <w:pPr>
              <w:jc w:val="center"/>
              <w:rPr>
                <w:rFonts w:hint="eastAsia"/>
                <w:bCs/>
                <w:sz w:val="21"/>
                <w:szCs w:val="21"/>
              </w:rPr>
            </w:pPr>
            <w:r>
              <w:rPr>
                <w:rFonts w:hint="eastAsia"/>
                <w:bCs/>
                <w:sz w:val="21"/>
                <w:szCs w:val="21"/>
              </w:rPr>
              <w:t>7</w:t>
            </w:r>
          </w:p>
        </w:tc>
        <w:tc>
          <w:tcPr>
            <w:tcW w:w="585" w:type="pct"/>
            <w:noWrap w:val="0"/>
            <w:vAlign w:val="center"/>
          </w:tcPr>
          <w:p>
            <w:pPr>
              <w:adjustRightInd w:val="0"/>
              <w:snapToGrid w:val="0"/>
              <w:jc w:val="center"/>
              <w:rPr>
                <w:kern w:val="0"/>
                <w:sz w:val="21"/>
                <w:szCs w:val="21"/>
              </w:rPr>
            </w:pPr>
            <w:r>
              <w:rPr>
                <w:rFonts w:hint="eastAsia"/>
                <w:kern w:val="0"/>
                <w:sz w:val="21"/>
                <w:szCs w:val="21"/>
              </w:rPr>
              <w:t>于丽</w:t>
            </w:r>
          </w:p>
        </w:tc>
        <w:tc>
          <w:tcPr>
            <w:tcW w:w="794" w:type="pct"/>
            <w:noWrap w:val="0"/>
            <w:vAlign w:val="center"/>
          </w:tcPr>
          <w:p>
            <w:pPr>
              <w:adjustRightInd w:val="0"/>
              <w:snapToGrid w:val="0"/>
              <w:jc w:val="center"/>
              <w:rPr>
                <w:kern w:val="0"/>
                <w:sz w:val="21"/>
                <w:szCs w:val="21"/>
              </w:rPr>
            </w:pPr>
            <w:r>
              <w:rPr>
                <w:rFonts w:hint="eastAsia"/>
                <w:kern w:val="0"/>
                <w:sz w:val="21"/>
                <w:szCs w:val="21"/>
              </w:rPr>
              <w:t>主管技师</w:t>
            </w:r>
          </w:p>
        </w:tc>
        <w:tc>
          <w:tcPr>
            <w:tcW w:w="842" w:type="pct"/>
            <w:noWrap w:val="0"/>
            <w:vAlign w:val="center"/>
          </w:tcPr>
          <w:p>
            <w:pPr>
              <w:adjustRightInd w:val="0"/>
              <w:snapToGrid w:val="0"/>
              <w:jc w:val="center"/>
              <w:rPr>
                <w:rFonts w:hint="eastAsia" w:eastAsia="宋体"/>
                <w:kern w:val="0"/>
                <w:sz w:val="21"/>
                <w:szCs w:val="21"/>
                <w:lang w:eastAsia="zh-CN"/>
              </w:rPr>
            </w:pPr>
            <w:r>
              <w:rPr>
                <w:rFonts w:hint="eastAsia"/>
                <w:bCs/>
                <w:sz w:val="21"/>
                <w:szCs w:val="21"/>
              </w:rPr>
              <w:t>中国医学科学院医学生物学研究所</w:t>
            </w:r>
          </w:p>
        </w:tc>
        <w:tc>
          <w:tcPr>
            <w:tcW w:w="821" w:type="pct"/>
            <w:noWrap w:val="0"/>
            <w:vAlign w:val="center"/>
          </w:tcPr>
          <w:p>
            <w:pPr>
              <w:adjustRightInd w:val="0"/>
              <w:snapToGrid w:val="0"/>
              <w:jc w:val="center"/>
              <w:rPr>
                <w:kern w:val="0"/>
                <w:sz w:val="21"/>
                <w:szCs w:val="21"/>
              </w:rPr>
            </w:pPr>
            <w:r>
              <w:rPr>
                <w:rFonts w:hint="eastAsia"/>
                <w:bCs/>
                <w:sz w:val="21"/>
                <w:szCs w:val="21"/>
              </w:rPr>
              <w:t>中国医学科学院医学生物学研究所</w:t>
            </w:r>
          </w:p>
        </w:tc>
        <w:tc>
          <w:tcPr>
            <w:tcW w:w="1608" w:type="pct"/>
            <w:noWrap w:val="0"/>
            <w:vAlign w:val="center"/>
          </w:tcPr>
          <w:p>
            <w:pPr>
              <w:widowControl/>
              <w:adjustRightInd w:val="0"/>
              <w:snapToGrid w:val="0"/>
              <w:jc w:val="center"/>
              <w:rPr>
                <w:rFonts w:hint="default"/>
                <w:snapToGrid w:val="0"/>
                <w:color w:val="000000"/>
                <w:kern w:val="0"/>
                <w:sz w:val="21"/>
                <w:szCs w:val="21"/>
                <w:lang w:val="en-US"/>
              </w:rPr>
            </w:pPr>
            <w:r>
              <w:rPr>
                <w:rFonts w:hint="eastAsia"/>
                <w:bCs/>
                <w:sz w:val="21"/>
                <w:szCs w:val="21"/>
                <w:lang w:val="en-US" w:eastAsia="zh-CN"/>
              </w:rPr>
              <w:t>主要参与人，创新点1中①③的主要参与者</w:t>
            </w:r>
          </w:p>
        </w:tc>
      </w:tr>
    </w:tbl>
    <w:p>
      <w:pPr>
        <w:spacing w:line="560" w:lineRule="exact"/>
        <w:rPr>
          <w:rFonts w:hint="eastAsia" w:ascii="仿宋_GB2312" w:eastAsia="仿宋_GB2312"/>
          <w:sz w:val="24"/>
          <w:szCs w:val="24"/>
        </w:rPr>
      </w:pPr>
    </w:p>
    <w:p>
      <w:pPr>
        <w:pageBreakBefore w:val="0"/>
        <w:kinsoku/>
        <w:topLinePunct w:val="0"/>
        <w:bidi w:val="0"/>
        <w:spacing w:line="360" w:lineRule="auto"/>
        <w:rPr>
          <w:rFonts w:hint="eastAsia" w:ascii="Times New Roman" w:hAnsi="Times New Roman" w:cs="Times New Roman"/>
          <w:b/>
          <w:bCs/>
          <w:kern w:val="24"/>
          <w:sz w:val="24"/>
          <w:szCs w:val="24"/>
          <w:lang w:val="en-US" w:eastAsia="zh-CN"/>
        </w:rPr>
      </w:pPr>
      <w:r>
        <w:rPr>
          <w:rFonts w:hint="eastAsia" w:ascii="Times New Roman" w:hAnsi="Times New Roman" w:cs="Times New Roman"/>
          <w:b/>
          <w:bCs/>
          <w:kern w:val="24"/>
          <w:sz w:val="24"/>
          <w:szCs w:val="24"/>
          <w:lang w:val="en-US" w:eastAsia="zh-CN"/>
        </w:rPr>
        <w:t>四、代表性论文专著目录（不超过8篇）</w:t>
      </w:r>
    </w:p>
    <w:p>
      <w:pPr>
        <w:pStyle w:val="11"/>
        <w:numPr>
          <w:ilvl w:val="0"/>
          <w:numId w:val="2"/>
        </w:numPr>
        <w:rPr>
          <w:rFonts w:hint="eastAsia"/>
          <w:color w:val="auto"/>
          <w:highlight w:val="none"/>
        </w:rPr>
      </w:pPr>
      <w:bookmarkStart w:id="15" w:name="OLE_LINK10"/>
      <w:bookmarkStart w:id="16" w:name="OLE_LINK9"/>
      <w:r>
        <w:rPr>
          <w:rFonts w:ascii="Segoe UI" w:hAnsi="Segoe UI" w:cs="Segoe UI"/>
          <w:color w:val="auto"/>
          <w:highlight w:val="none"/>
          <w:shd w:val="clear" w:color="auto" w:fill="FFFFFF"/>
        </w:rPr>
        <w:t xml:space="preserve">Song J, Hu Y, Li H, Huang X, Zheng H, Hu Y, Wang J, Jiang X, Li J, Yang Z, Fan H, Guo L, Shi H, He Z, Yang F, Wang X, Dong S, Li Q, </w:t>
      </w:r>
      <w:bookmarkStart w:id="17" w:name="OLE_LINK6"/>
      <w:r>
        <w:rPr>
          <w:rFonts w:ascii="Segoe UI" w:hAnsi="Segoe UI" w:cs="Segoe UI"/>
          <w:color w:val="auto"/>
          <w:highlight w:val="none"/>
          <w:shd w:val="clear" w:color="auto" w:fill="FFFFFF"/>
        </w:rPr>
        <w:t>Liu L. miR-1303 regulates BBB permeability and promotes CNS lesions following CA16 infections by directly targeting MMP9.</w:t>
      </w:r>
      <w:bookmarkEnd w:id="17"/>
      <w:r>
        <w:rPr>
          <w:rFonts w:ascii="Segoe UI" w:hAnsi="Segoe UI" w:cs="Segoe UI"/>
          <w:color w:val="auto"/>
          <w:highlight w:val="none"/>
          <w:shd w:val="clear" w:color="auto" w:fill="FFFFFF"/>
        </w:rPr>
        <w:t xml:space="preserve"> Emerg Microbes Infect. 2018 Sep 19;7(1):155. Doi: 10.1038/s41426-018-0157-3. </w:t>
      </w:r>
    </w:p>
    <w:p>
      <w:pPr>
        <w:pStyle w:val="11"/>
        <w:numPr>
          <w:ilvl w:val="0"/>
          <w:numId w:val="2"/>
        </w:numPr>
        <w:rPr>
          <w:rFonts w:hint="eastAsia"/>
          <w:color w:val="auto"/>
          <w:highlight w:val="none"/>
        </w:rPr>
      </w:pPr>
      <w:r>
        <w:rPr>
          <w:rFonts w:ascii="Segoe UI" w:hAnsi="Segoe UI" w:cs="Segoe UI"/>
          <w:color w:val="auto"/>
          <w:highlight w:val="none"/>
          <w:shd w:val="clear" w:color="auto" w:fill="FFFFFF"/>
        </w:rPr>
        <w:t>Li HZ, Li N, Wang JJ, Li H, Huang X, Guo L, Zheng HW, He ZL, Zhao Y, Yang ZN, Fan HT, Chu MM, Yang JX, Wu QW, Liu LD. Dysbiosis of gut microbiome affecting small intestine morphology and immune balance: a rhesus macaque model. Zool Res. 2020 Jan 18;41(1):20-31. doi: 10.24272/j.issn.2095-8137.2020.004. PMID: 31930784; </w:t>
      </w:r>
    </w:p>
    <w:p>
      <w:pPr>
        <w:pStyle w:val="11"/>
        <w:numPr>
          <w:ilvl w:val="0"/>
          <w:numId w:val="2"/>
        </w:numPr>
        <w:rPr>
          <w:rFonts w:hint="eastAsia"/>
          <w:color w:val="auto"/>
          <w:highlight w:val="none"/>
        </w:rPr>
      </w:pPr>
      <w:r>
        <w:rPr>
          <w:rFonts w:ascii="Segoe UI" w:hAnsi="Segoe UI" w:cs="Segoe UI"/>
          <w:color w:val="auto"/>
          <w:highlight w:val="none"/>
          <w:shd w:val="clear" w:color="auto" w:fill="FFFFFF"/>
        </w:rPr>
        <w:t xml:space="preserve">Hu Y, Song J, Liu L, Zhang Y, Wang L, Li Q. </w:t>
      </w:r>
      <w:bookmarkStart w:id="18" w:name="OLE_LINK3"/>
      <w:r>
        <w:rPr>
          <w:rFonts w:ascii="Segoe UI" w:hAnsi="Segoe UI" w:cs="Segoe UI"/>
          <w:color w:val="auto"/>
          <w:highlight w:val="none"/>
          <w:shd w:val="clear" w:color="auto" w:fill="FFFFFF"/>
        </w:rPr>
        <w:t>microRNA-4516 Contributes to Different Functions of Epithelial Permeability Barrier by Targeting Poliovirus Receptor Related Protein 1 in Enterovirus 71 and Coxsackievirus A16 Infections. Front Cell Infect Microbiol. 2018 Apr 9;8:110. doi: 10.3389/fcimb.2018.00110.</w:t>
      </w:r>
    </w:p>
    <w:bookmarkEnd w:id="18"/>
    <w:p>
      <w:pPr>
        <w:pStyle w:val="11"/>
        <w:numPr>
          <w:ilvl w:val="0"/>
          <w:numId w:val="2"/>
        </w:numPr>
        <w:rPr>
          <w:rFonts w:hint="eastAsia"/>
          <w:color w:val="auto"/>
          <w:highlight w:val="none"/>
        </w:rPr>
      </w:pPr>
      <w:r>
        <w:rPr>
          <w:rFonts w:hint="eastAsia"/>
          <w:color w:val="auto"/>
          <w:highlight w:val="none"/>
        </w:rPr>
        <w:t>Zheng HW, Sun M, Guo L, Wang JJ, Song J, Li JQ, Li HZ, Ning RT, Yang ZN, Fan HT, He ZL, Liu LD. Nasal Infection of Enterovirus D68 Leading to Lower Respiratory Tract Pathogenesis in Ferrets (Mustela putorius furo). Viruses. 2017 May 10;9(5):104. doi: 10.3390/v9050104.</w:t>
      </w:r>
    </w:p>
    <w:p>
      <w:pPr>
        <w:pStyle w:val="11"/>
        <w:numPr>
          <w:ilvl w:val="0"/>
          <w:numId w:val="2"/>
        </w:numPr>
        <w:rPr>
          <w:rFonts w:hint="eastAsia"/>
          <w:color w:val="auto"/>
          <w:highlight w:val="none"/>
        </w:rPr>
      </w:pPr>
      <w:r>
        <w:rPr>
          <w:rFonts w:ascii="Segoe UI" w:hAnsi="Segoe UI" w:cs="Segoe UI"/>
          <w:color w:val="auto"/>
          <w:highlight w:val="none"/>
          <w:shd w:val="clear" w:color="auto" w:fill="FFFFFF"/>
        </w:rPr>
        <w:t>Song J, Hu Y, Li J, Zheng H, Wang J, Guo L, Shi H, Liu L. Suppression of the toll-like receptor 7-dependent type I interferon production pathway by autophagy resulting from enterovirus 71 and coxsackievirus A16 infections facilitates their replication. Arch Virol. 2018 Jan;163(1):135-144. doi: 10.1007/s00705-017-3592-x.</w:t>
      </w:r>
    </w:p>
    <w:p>
      <w:pPr>
        <w:pStyle w:val="11"/>
        <w:numPr>
          <w:ilvl w:val="0"/>
          <w:numId w:val="2"/>
        </w:numPr>
        <w:rPr>
          <w:rFonts w:hint="eastAsia"/>
          <w:color w:val="auto"/>
          <w:highlight w:val="none"/>
        </w:rPr>
      </w:pPr>
      <w:r>
        <w:rPr>
          <w:rFonts w:ascii="Segoe UI" w:hAnsi="Segoe UI" w:cs="Segoe UI"/>
          <w:color w:val="auto"/>
          <w:highlight w:val="none"/>
          <w:shd w:val="clear" w:color="auto" w:fill="FFFFFF"/>
        </w:rPr>
        <w:t>Chen Y, Li H, Yang J, Zheng H, Guo L, Li W, Yang Z, Song J, Liu L. A hSCARB2-transgenic mouse model for Coxsackievirus A16 pathogenesis. Virol J. 2021 Apr 21;18(1):84. doi: 10.1186/s12985-021-01557-5.</w:t>
      </w:r>
    </w:p>
    <w:p>
      <w:pPr>
        <w:pStyle w:val="11"/>
        <w:numPr>
          <w:ilvl w:val="0"/>
          <w:numId w:val="2"/>
        </w:numPr>
        <w:rPr>
          <w:rFonts w:hint="eastAsia"/>
          <w:color w:val="auto"/>
        </w:rPr>
      </w:pPr>
      <w:bookmarkStart w:id="19" w:name="OLE_LINK11"/>
      <w:bookmarkStart w:id="20" w:name="OLE_LINK12"/>
      <w:r>
        <w:rPr>
          <w:rFonts w:ascii="Segoe UI" w:hAnsi="Segoe UI" w:cs="Segoe UI"/>
          <w:color w:val="auto"/>
          <w:shd w:val="clear" w:color="auto" w:fill="FFFFFF"/>
        </w:rPr>
        <w:t xml:space="preserve">Li H, Li H, Wang J, Guo L, Fan H, Zheng H, Yang Z, Huang X, Chu M, Yang F, He Z, Li N, Yang J, Wu Q, Shi H, Liu L. </w:t>
      </w:r>
      <w:bookmarkStart w:id="21" w:name="OLE_LINK2"/>
      <w:r>
        <w:rPr>
          <w:rFonts w:ascii="Segoe UI" w:hAnsi="Segoe UI" w:cs="Segoe UI"/>
          <w:color w:val="auto"/>
          <w:shd w:val="clear" w:color="auto" w:fill="FFFFFF"/>
        </w:rPr>
        <w:t>The altered gut virome community in rhesus monkeys is correlated with the gut bacterial microbiome and associated metabolites. Virol J. 2019 Aug 19;16(1):105. doi: 10.1186/s12985-019-1211-z</w:t>
      </w:r>
      <w:bookmarkEnd w:id="21"/>
      <w:r>
        <w:rPr>
          <w:rFonts w:ascii="Segoe UI" w:hAnsi="Segoe UI" w:cs="Segoe UI"/>
          <w:color w:val="auto"/>
          <w:shd w:val="clear" w:color="auto" w:fill="FFFFFF"/>
        </w:rPr>
        <w:t>.</w:t>
      </w:r>
      <w:bookmarkEnd w:id="15"/>
      <w:bookmarkEnd w:id="19"/>
    </w:p>
    <w:bookmarkEnd w:id="20"/>
    <w:p>
      <w:pPr>
        <w:pStyle w:val="11"/>
        <w:numPr>
          <w:ilvl w:val="0"/>
          <w:numId w:val="2"/>
        </w:numPr>
        <w:rPr>
          <w:rFonts w:hint="eastAsia"/>
          <w:color w:val="auto"/>
        </w:rPr>
      </w:pPr>
      <w:r>
        <w:rPr>
          <w:rFonts w:ascii="Segoe UI" w:hAnsi="Segoe UI" w:cs="Segoe UI"/>
          <w:color w:val="auto"/>
          <w:shd w:val="clear" w:color="auto" w:fill="FFFFFF"/>
        </w:rPr>
        <w:t xml:space="preserve">Yang Z, Zheng H, Li H, Chen Y, Hou D, Fan Q, Song J, Guo L, Liu L. </w:t>
      </w:r>
      <w:bookmarkStart w:id="22" w:name="OLE_LINK4"/>
      <w:r>
        <w:rPr>
          <w:rFonts w:ascii="Segoe UI" w:hAnsi="Segoe UI" w:cs="Segoe UI"/>
          <w:color w:val="auto"/>
          <w:shd w:val="clear" w:color="auto" w:fill="FFFFFF"/>
        </w:rPr>
        <w:t>The expression of IFN-β is suppressed by the viral 3D polymerase via its impact on PGAM5 expression during enterovirus D68 infection.</w:t>
      </w:r>
      <w:bookmarkEnd w:id="22"/>
      <w:r>
        <w:rPr>
          <w:rFonts w:ascii="Segoe UI" w:hAnsi="Segoe UI" w:cs="Segoe UI"/>
          <w:color w:val="auto"/>
          <w:shd w:val="clear" w:color="auto" w:fill="FFFFFF"/>
        </w:rPr>
        <w:t xml:space="preserve"> Virus Res. 2021 Oct 15;304:198549. doi: 10.1016/j.virusres.2021.198549</w:t>
      </w:r>
    </w:p>
    <w:bookmarkEnd w:id="16"/>
    <w:p>
      <w:pPr>
        <w:spacing w:line="560" w:lineRule="exact"/>
        <w:ind w:firstLine="480" w:firstLineChars="200"/>
        <w:jc w:val="right"/>
        <w:rPr>
          <w:rFonts w:ascii="仿宋_GB2312" w:eastAsia="仿宋_GB2312"/>
          <w:sz w:val="24"/>
          <w:szCs w:val="24"/>
        </w:rPr>
      </w:pPr>
    </w:p>
    <w:sectPr>
      <w:footerReference r:id="rId3" w:type="default"/>
      <w:pgSz w:w="11906" w:h="16838"/>
      <w:pgMar w:top="851" w:right="1800" w:bottom="709"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BF86AA63-7329-482F-BBF1-614C8D1565A7}"/>
  </w:font>
  <w:font w:name="方正仿宋_GB2312">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font>
  <w:font w:name="仿宋_GB2312">
    <w:altName w:val="仿宋"/>
    <w:panose1 w:val="00000000000000000000"/>
    <w:charset w:val="86"/>
    <w:family w:val="modern"/>
    <w:pitch w:val="default"/>
    <w:sig w:usb0="00000000" w:usb1="00000000" w:usb2="00000010" w:usb3="00000000" w:csb0="00040000" w:csb1="00000000"/>
    <w:embedRegular r:id="rId2" w:fontKey="{62D14484-2630-4E0A-B39A-0FAC7B9BCDE6}"/>
  </w:font>
  <w:font w:name="方正小标宋_GBK">
    <w:panose1 w:val="02000000000000000000"/>
    <w:charset w:val="86"/>
    <w:family w:val="script"/>
    <w:pitch w:val="default"/>
    <w:sig w:usb0="A00002BF" w:usb1="38CF7CFA" w:usb2="00082016" w:usb3="00000000" w:csb0="00040001" w:csb1="00000000"/>
    <w:embedRegular r:id="rId3" w:fontKey="{C6ED158A-1BC7-4781-ACE6-E20D8725C8D4}"/>
  </w:font>
  <w:font w:name="Segoe UI">
    <w:panose1 w:val="020B0502040204020203"/>
    <w:charset w:val="00"/>
    <w:family w:val="swiss"/>
    <w:pitch w:val="default"/>
    <w:sig w:usb0="E4002EFF" w:usb1="C000E47F" w:usb2="00000009" w:usb3="00000000" w:csb0="200001FF" w:csb1="00000000"/>
    <w:embedRegular r:id="rId4" w:fontKey="{7DCDDC25-F8D8-47D6-9E85-0D8E771C132A}"/>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9205496"/>
      <w:docPartObj>
        <w:docPartGallery w:val="autotext"/>
      </w:docPartObj>
    </w:sdtPr>
    <w:sdtContent>
      <w:sdt>
        <w:sdtPr>
          <w:id w:val="860082579"/>
          <w:docPartObj>
            <w:docPartGallery w:val="autotext"/>
          </w:docPartObj>
        </w:sdtPr>
        <w:sdtContent>
          <w:p>
            <w:pPr>
              <w:pStyle w:val="4"/>
              <w:jc w:val="right"/>
            </w:pPr>
            <w:r>
              <w:rPr>
                <w:rFonts w:ascii="Times New Roman" w:hAnsi="Times New Roman" w:cs="Times New Roman"/>
                <w:sz w:val="32"/>
                <w:lang w:val="zh-CN"/>
              </w:rPr>
              <w:t xml:space="preserve"> </w:t>
            </w:r>
            <w:r>
              <w:rPr>
                <w:rFonts w:ascii="Times New Roman" w:hAnsi="Times New Roman" w:cs="Times New Roman"/>
                <w:b/>
                <w:bCs/>
                <w:sz w:val="48"/>
                <w:szCs w:val="24"/>
              </w:rPr>
              <w:fldChar w:fldCharType="begin"/>
            </w:r>
            <w:r>
              <w:rPr>
                <w:rFonts w:ascii="Times New Roman" w:hAnsi="Times New Roman" w:cs="Times New Roman"/>
                <w:b/>
                <w:bCs/>
                <w:sz w:val="32"/>
              </w:rPr>
              <w:instrText xml:space="preserve">PAGE</w:instrText>
            </w:r>
            <w:r>
              <w:rPr>
                <w:rFonts w:ascii="Times New Roman" w:hAnsi="Times New Roman" w:cs="Times New Roman"/>
                <w:b/>
                <w:bCs/>
                <w:sz w:val="48"/>
                <w:szCs w:val="24"/>
              </w:rPr>
              <w:fldChar w:fldCharType="separate"/>
            </w:r>
            <w:r>
              <w:rPr>
                <w:rFonts w:ascii="Times New Roman" w:hAnsi="Times New Roman" w:cs="Times New Roman"/>
                <w:b/>
                <w:bCs/>
                <w:sz w:val="32"/>
              </w:rPr>
              <w:t>1</w:t>
            </w:r>
            <w:r>
              <w:rPr>
                <w:rFonts w:ascii="Times New Roman" w:hAnsi="Times New Roman" w:cs="Times New Roman"/>
                <w:b/>
                <w:bCs/>
                <w:sz w:val="48"/>
                <w:szCs w:val="24"/>
              </w:rPr>
              <w:fldChar w:fldCharType="end"/>
            </w:r>
            <w:r>
              <w:rPr>
                <w:rFonts w:ascii="Times New Roman" w:hAnsi="Times New Roman" w:cs="Times New Roman"/>
                <w:sz w:val="32"/>
                <w:lang w:val="zh-CN"/>
              </w:rPr>
              <w:t xml:space="preserve"> / </w:t>
            </w:r>
            <w:r>
              <w:rPr>
                <w:rFonts w:ascii="Times New Roman" w:hAnsi="Times New Roman" w:cs="Times New Roman"/>
                <w:b/>
                <w:bCs/>
                <w:sz w:val="48"/>
                <w:szCs w:val="24"/>
              </w:rPr>
              <w:fldChar w:fldCharType="begin"/>
            </w:r>
            <w:r>
              <w:rPr>
                <w:rFonts w:ascii="Times New Roman" w:hAnsi="Times New Roman" w:cs="Times New Roman"/>
                <w:b/>
                <w:bCs/>
                <w:sz w:val="32"/>
              </w:rPr>
              <w:instrText xml:space="preserve">NUMPAGES</w:instrText>
            </w:r>
            <w:r>
              <w:rPr>
                <w:rFonts w:ascii="Times New Roman" w:hAnsi="Times New Roman" w:cs="Times New Roman"/>
                <w:b/>
                <w:bCs/>
                <w:sz w:val="48"/>
                <w:szCs w:val="24"/>
              </w:rPr>
              <w:fldChar w:fldCharType="separate"/>
            </w:r>
            <w:r>
              <w:rPr>
                <w:rFonts w:ascii="Times New Roman" w:hAnsi="Times New Roman" w:cs="Times New Roman"/>
                <w:b/>
                <w:bCs/>
                <w:sz w:val="32"/>
              </w:rPr>
              <w:t>4</w:t>
            </w:r>
            <w:r>
              <w:rPr>
                <w:rFonts w:ascii="Times New Roman" w:hAnsi="Times New Roman" w:cs="Times New Roman"/>
                <w:b/>
                <w:bCs/>
                <w:sz w:val="48"/>
                <w:szCs w:val="24"/>
              </w:rPr>
              <w:fldChar w:fldCharType="end"/>
            </w:r>
          </w:p>
        </w:sdtContent>
      </w:sdt>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36366D"/>
    <w:multiLevelType w:val="multilevel"/>
    <w:tmpl w:val="0436366D"/>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693E5912"/>
    <w:multiLevelType w:val="singleLevel"/>
    <w:tmpl w:val="693E5912"/>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OGUzNmYxYjY0MzI3ZDBmNWRjOGNjMWMwNzA4Y2YifQ=="/>
    <w:docVar w:name="KY_MEDREF_DOCUID" w:val="{07C150E4-42EF-4DF3-943C-299B36DC62E1}"/>
    <w:docVar w:name="KY_MEDREF_VERSION" w:val="3"/>
  </w:docVars>
  <w:rsids>
    <w:rsidRoot w:val="009638E7"/>
    <w:rsid w:val="0000653C"/>
    <w:rsid w:val="00007F6F"/>
    <w:rsid w:val="0001386A"/>
    <w:rsid w:val="00020F77"/>
    <w:rsid w:val="00030F8E"/>
    <w:rsid w:val="00034A62"/>
    <w:rsid w:val="00041FD5"/>
    <w:rsid w:val="00076927"/>
    <w:rsid w:val="00076C10"/>
    <w:rsid w:val="000925A3"/>
    <w:rsid w:val="0009347A"/>
    <w:rsid w:val="00093F9E"/>
    <w:rsid w:val="000B07AF"/>
    <w:rsid w:val="000C2F7A"/>
    <w:rsid w:val="000C47D3"/>
    <w:rsid w:val="000C55FF"/>
    <w:rsid w:val="000D63F9"/>
    <w:rsid w:val="000E1F35"/>
    <w:rsid w:val="000F0910"/>
    <w:rsid w:val="00100B8D"/>
    <w:rsid w:val="0011216D"/>
    <w:rsid w:val="0011641E"/>
    <w:rsid w:val="00122066"/>
    <w:rsid w:val="00123B39"/>
    <w:rsid w:val="00125741"/>
    <w:rsid w:val="00126F11"/>
    <w:rsid w:val="00155BF0"/>
    <w:rsid w:val="00170C16"/>
    <w:rsid w:val="00171C8E"/>
    <w:rsid w:val="00172CB3"/>
    <w:rsid w:val="0017602F"/>
    <w:rsid w:val="00186166"/>
    <w:rsid w:val="0019008F"/>
    <w:rsid w:val="00190F42"/>
    <w:rsid w:val="00193851"/>
    <w:rsid w:val="001A0466"/>
    <w:rsid w:val="001B7B2D"/>
    <w:rsid w:val="001C058A"/>
    <w:rsid w:val="001C12B0"/>
    <w:rsid w:val="001D34EE"/>
    <w:rsid w:val="001D5D75"/>
    <w:rsid w:val="001E641D"/>
    <w:rsid w:val="00205D70"/>
    <w:rsid w:val="00205DC5"/>
    <w:rsid w:val="00211617"/>
    <w:rsid w:val="002126F7"/>
    <w:rsid w:val="002241DC"/>
    <w:rsid w:val="00232EB2"/>
    <w:rsid w:val="00251267"/>
    <w:rsid w:val="00263A56"/>
    <w:rsid w:val="00282EEA"/>
    <w:rsid w:val="00294338"/>
    <w:rsid w:val="002955DF"/>
    <w:rsid w:val="002A2DBE"/>
    <w:rsid w:val="002A7B77"/>
    <w:rsid w:val="002B002E"/>
    <w:rsid w:val="002C5168"/>
    <w:rsid w:val="002D073F"/>
    <w:rsid w:val="002E18EF"/>
    <w:rsid w:val="002E6BC8"/>
    <w:rsid w:val="002F6DD6"/>
    <w:rsid w:val="00300D76"/>
    <w:rsid w:val="00301859"/>
    <w:rsid w:val="0033165A"/>
    <w:rsid w:val="00341B03"/>
    <w:rsid w:val="00350200"/>
    <w:rsid w:val="00351CE9"/>
    <w:rsid w:val="003633D7"/>
    <w:rsid w:val="00364964"/>
    <w:rsid w:val="00391F59"/>
    <w:rsid w:val="003923F1"/>
    <w:rsid w:val="00395062"/>
    <w:rsid w:val="003954A5"/>
    <w:rsid w:val="00395CA3"/>
    <w:rsid w:val="003A5F14"/>
    <w:rsid w:val="003A6DDF"/>
    <w:rsid w:val="003D1167"/>
    <w:rsid w:val="003E07C2"/>
    <w:rsid w:val="00404D23"/>
    <w:rsid w:val="00430451"/>
    <w:rsid w:val="00432947"/>
    <w:rsid w:val="00437A08"/>
    <w:rsid w:val="0044031B"/>
    <w:rsid w:val="00442B81"/>
    <w:rsid w:val="00445AAB"/>
    <w:rsid w:val="00460F81"/>
    <w:rsid w:val="004663CC"/>
    <w:rsid w:val="00473F91"/>
    <w:rsid w:val="00477FB6"/>
    <w:rsid w:val="00492DE8"/>
    <w:rsid w:val="004953B9"/>
    <w:rsid w:val="004C1921"/>
    <w:rsid w:val="004D0CF3"/>
    <w:rsid w:val="004D19A0"/>
    <w:rsid w:val="004D6061"/>
    <w:rsid w:val="004D6B3D"/>
    <w:rsid w:val="004D6BAE"/>
    <w:rsid w:val="005146E6"/>
    <w:rsid w:val="005157A1"/>
    <w:rsid w:val="005265EF"/>
    <w:rsid w:val="00531EB2"/>
    <w:rsid w:val="00560A22"/>
    <w:rsid w:val="00560E2C"/>
    <w:rsid w:val="005640EE"/>
    <w:rsid w:val="0056634A"/>
    <w:rsid w:val="00591E30"/>
    <w:rsid w:val="005B1AF0"/>
    <w:rsid w:val="005C166C"/>
    <w:rsid w:val="005C2E64"/>
    <w:rsid w:val="005E20BD"/>
    <w:rsid w:val="005F7AA0"/>
    <w:rsid w:val="006023D7"/>
    <w:rsid w:val="00605F00"/>
    <w:rsid w:val="0063703A"/>
    <w:rsid w:val="0064098D"/>
    <w:rsid w:val="00643443"/>
    <w:rsid w:val="00661FE8"/>
    <w:rsid w:val="006766D1"/>
    <w:rsid w:val="0068735F"/>
    <w:rsid w:val="00692B33"/>
    <w:rsid w:val="00693082"/>
    <w:rsid w:val="006A18CB"/>
    <w:rsid w:val="006C0621"/>
    <w:rsid w:val="006D1B95"/>
    <w:rsid w:val="006D4E0E"/>
    <w:rsid w:val="006D7B78"/>
    <w:rsid w:val="006E62F3"/>
    <w:rsid w:val="006E78E0"/>
    <w:rsid w:val="006F0E20"/>
    <w:rsid w:val="006F2AD0"/>
    <w:rsid w:val="00713B15"/>
    <w:rsid w:val="007151CD"/>
    <w:rsid w:val="00725D6F"/>
    <w:rsid w:val="00733CDF"/>
    <w:rsid w:val="007348CE"/>
    <w:rsid w:val="00734EFE"/>
    <w:rsid w:val="00743BC2"/>
    <w:rsid w:val="00743C3C"/>
    <w:rsid w:val="007544E8"/>
    <w:rsid w:val="00754738"/>
    <w:rsid w:val="00767CBD"/>
    <w:rsid w:val="00796978"/>
    <w:rsid w:val="007B6E58"/>
    <w:rsid w:val="007C7452"/>
    <w:rsid w:val="007E20BE"/>
    <w:rsid w:val="007F3A61"/>
    <w:rsid w:val="00803021"/>
    <w:rsid w:val="00823894"/>
    <w:rsid w:val="008261EC"/>
    <w:rsid w:val="00830A5D"/>
    <w:rsid w:val="008413CB"/>
    <w:rsid w:val="00845876"/>
    <w:rsid w:val="0084708B"/>
    <w:rsid w:val="00856015"/>
    <w:rsid w:val="00861407"/>
    <w:rsid w:val="008628B9"/>
    <w:rsid w:val="00862EA2"/>
    <w:rsid w:val="008A22DA"/>
    <w:rsid w:val="008B1E58"/>
    <w:rsid w:val="008B59C1"/>
    <w:rsid w:val="008C40F1"/>
    <w:rsid w:val="008F053B"/>
    <w:rsid w:val="008F2DA1"/>
    <w:rsid w:val="0090239A"/>
    <w:rsid w:val="00905C0D"/>
    <w:rsid w:val="0091619B"/>
    <w:rsid w:val="00921FB1"/>
    <w:rsid w:val="009220B9"/>
    <w:rsid w:val="00934A47"/>
    <w:rsid w:val="009638E7"/>
    <w:rsid w:val="0098611D"/>
    <w:rsid w:val="0098694C"/>
    <w:rsid w:val="00986A26"/>
    <w:rsid w:val="00994BF4"/>
    <w:rsid w:val="009B3F1B"/>
    <w:rsid w:val="009C7B05"/>
    <w:rsid w:val="009D211C"/>
    <w:rsid w:val="009D566A"/>
    <w:rsid w:val="00A0407A"/>
    <w:rsid w:val="00A10D7F"/>
    <w:rsid w:val="00A279C0"/>
    <w:rsid w:val="00A40FDE"/>
    <w:rsid w:val="00A4134D"/>
    <w:rsid w:val="00A44F70"/>
    <w:rsid w:val="00A458B4"/>
    <w:rsid w:val="00A4765B"/>
    <w:rsid w:val="00A55D66"/>
    <w:rsid w:val="00A6020B"/>
    <w:rsid w:val="00A67E1C"/>
    <w:rsid w:val="00AA095C"/>
    <w:rsid w:val="00AA0C3C"/>
    <w:rsid w:val="00AA543B"/>
    <w:rsid w:val="00AB1097"/>
    <w:rsid w:val="00AE1B9E"/>
    <w:rsid w:val="00AF36E4"/>
    <w:rsid w:val="00AF619C"/>
    <w:rsid w:val="00B336B9"/>
    <w:rsid w:val="00B452CE"/>
    <w:rsid w:val="00B50CC6"/>
    <w:rsid w:val="00B61635"/>
    <w:rsid w:val="00B72C52"/>
    <w:rsid w:val="00B761F8"/>
    <w:rsid w:val="00B777AB"/>
    <w:rsid w:val="00BA0DCB"/>
    <w:rsid w:val="00BA29D7"/>
    <w:rsid w:val="00BA4095"/>
    <w:rsid w:val="00BB36AB"/>
    <w:rsid w:val="00C02C39"/>
    <w:rsid w:val="00C0342E"/>
    <w:rsid w:val="00C16103"/>
    <w:rsid w:val="00C22C79"/>
    <w:rsid w:val="00C348FD"/>
    <w:rsid w:val="00C511E2"/>
    <w:rsid w:val="00C53738"/>
    <w:rsid w:val="00C542B5"/>
    <w:rsid w:val="00C63A2E"/>
    <w:rsid w:val="00CA68F8"/>
    <w:rsid w:val="00CB025F"/>
    <w:rsid w:val="00CB3462"/>
    <w:rsid w:val="00CC08D3"/>
    <w:rsid w:val="00CC0C7E"/>
    <w:rsid w:val="00CC5981"/>
    <w:rsid w:val="00CC5F49"/>
    <w:rsid w:val="00CD2ED7"/>
    <w:rsid w:val="00CF1C00"/>
    <w:rsid w:val="00CF6C1A"/>
    <w:rsid w:val="00D01B99"/>
    <w:rsid w:val="00D44EC4"/>
    <w:rsid w:val="00D46239"/>
    <w:rsid w:val="00D47EC7"/>
    <w:rsid w:val="00D65749"/>
    <w:rsid w:val="00D90FBF"/>
    <w:rsid w:val="00DA3264"/>
    <w:rsid w:val="00DB25F9"/>
    <w:rsid w:val="00DC1388"/>
    <w:rsid w:val="00DC2486"/>
    <w:rsid w:val="00DC7C0B"/>
    <w:rsid w:val="00DD2D00"/>
    <w:rsid w:val="00DD5CAD"/>
    <w:rsid w:val="00DF4D6C"/>
    <w:rsid w:val="00E17A97"/>
    <w:rsid w:val="00E26984"/>
    <w:rsid w:val="00E3270D"/>
    <w:rsid w:val="00E368FA"/>
    <w:rsid w:val="00E43775"/>
    <w:rsid w:val="00E52FFE"/>
    <w:rsid w:val="00E67DE3"/>
    <w:rsid w:val="00E735A8"/>
    <w:rsid w:val="00E84548"/>
    <w:rsid w:val="00E85654"/>
    <w:rsid w:val="00E90D84"/>
    <w:rsid w:val="00E95A56"/>
    <w:rsid w:val="00EC33AE"/>
    <w:rsid w:val="00EC630A"/>
    <w:rsid w:val="00EE45C1"/>
    <w:rsid w:val="00EE7734"/>
    <w:rsid w:val="00EF6477"/>
    <w:rsid w:val="00F052F6"/>
    <w:rsid w:val="00F13C43"/>
    <w:rsid w:val="00F34442"/>
    <w:rsid w:val="00F4467C"/>
    <w:rsid w:val="00F51223"/>
    <w:rsid w:val="00F51563"/>
    <w:rsid w:val="00F60999"/>
    <w:rsid w:val="00F619EC"/>
    <w:rsid w:val="00F670A9"/>
    <w:rsid w:val="00F967C9"/>
    <w:rsid w:val="00FA3239"/>
    <w:rsid w:val="00FB62E8"/>
    <w:rsid w:val="00FC5DFC"/>
    <w:rsid w:val="00FE34E4"/>
    <w:rsid w:val="022036E0"/>
    <w:rsid w:val="07285133"/>
    <w:rsid w:val="097C29B8"/>
    <w:rsid w:val="0A83110A"/>
    <w:rsid w:val="0E8720F1"/>
    <w:rsid w:val="122E2C3D"/>
    <w:rsid w:val="126C77F1"/>
    <w:rsid w:val="17506704"/>
    <w:rsid w:val="18E67F73"/>
    <w:rsid w:val="199B7FE6"/>
    <w:rsid w:val="233D1A7B"/>
    <w:rsid w:val="24E6256A"/>
    <w:rsid w:val="2B1E53A8"/>
    <w:rsid w:val="2CB43679"/>
    <w:rsid w:val="348A1163"/>
    <w:rsid w:val="3624433A"/>
    <w:rsid w:val="36915C1D"/>
    <w:rsid w:val="380B6117"/>
    <w:rsid w:val="3E8C358E"/>
    <w:rsid w:val="450677B8"/>
    <w:rsid w:val="46275941"/>
    <w:rsid w:val="483F71F3"/>
    <w:rsid w:val="4D6F1F59"/>
    <w:rsid w:val="4E9245B8"/>
    <w:rsid w:val="501439CE"/>
    <w:rsid w:val="54077C82"/>
    <w:rsid w:val="57F14ED1"/>
    <w:rsid w:val="5ADB4028"/>
    <w:rsid w:val="626C3AD2"/>
    <w:rsid w:val="682F1872"/>
    <w:rsid w:val="68EE7D29"/>
    <w:rsid w:val="693D1D24"/>
    <w:rsid w:val="69536E6D"/>
    <w:rsid w:val="696073DC"/>
    <w:rsid w:val="6A562658"/>
    <w:rsid w:val="738F7621"/>
    <w:rsid w:val="759E3B4B"/>
    <w:rsid w:val="76A302BA"/>
    <w:rsid w:val="76C32647"/>
    <w:rsid w:val="77D0645A"/>
    <w:rsid w:val="780F00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link w:val="13"/>
    <w:autoRedefine/>
    <w:semiHidden/>
    <w:unhideWhenUsed/>
    <w:qFormat/>
    <w:uiPriority w:val="99"/>
    <w:rPr>
      <w:rFonts w:hAnsi="Courier New" w:cs="Courier New" w:asciiTheme="minorEastAsia"/>
    </w:rPr>
  </w:style>
  <w:style w:type="paragraph" w:styleId="3">
    <w:name w:val="Balloon Text"/>
    <w:basedOn w:val="1"/>
    <w:link w:val="12"/>
    <w:autoRedefine/>
    <w:semiHidden/>
    <w:unhideWhenUsed/>
    <w:qFormat/>
    <w:uiPriority w:val="99"/>
    <w:rPr>
      <w:sz w:val="18"/>
      <w:szCs w:val="18"/>
    </w:rPr>
  </w:style>
  <w:style w:type="paragraph" w:styleId="4">
    <w:name w:val="footer"/>
    <w:basedOn w:val="1"/>
    <w:link w:val="10"/>
    <w:autoRedefine/>
    <w:unhideWhenUsed/>
    <w:qFormat/>
    <w:uiPriority w:val="99"/>
    <w:pPr>
      <w:tabs>
        <w:tab w:val="center" w:pos="4153"/>
        <w:tab w:val="right" w:pos="8306"/>
      </w:tabs>
      <w:snapToGrid w:val="0"/>
      <w:jc w:val="left"/>
    </w:pPr>
    <w:rPr>
      <w:sz w:val="18"/>
      <w:szCs w:val="18"/>
    </w:rPr>
  </w:style>
  <w:style w:type="paragraph" w:styleId="5">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autoRedefine/>
    <w:unhideWhenUsed/>
    <w:qFormat/>
    <w:uiPriority w:val="99"/>
    <w:rPr>
      <w:color w:val="0000FF" w:themeColor="hyperlink"/>
      <w:u w:val="single"/>
      <w14:textFill>
        <w14:solidFill>
          <w14:schemeClr w14:val="hlink"/>
        </w14:solidFill>
      </w14:textFill>
    </w:rPr>
  </w:style>
  <w:style w:type="character" w:customStyle="1" w:styleId="9">
    <w:name w:val="页眉 字符"/>
    <w:basedOn w:val="7"/>
    <w:link w:val="5"/>
    <w:autoRedefine/>
    <w:qFormat/>
    <w:uiPriority w:val="99"/>
    <w:rPr>
      <w:sz w:val="18"/>
      <w:szCs w:val="18"/>
    </w:rPr>
  </w:style>
  <w:style w:type="character" w:customStyle="1" w:styleId="10">
    <w:name w:val="页脚 字符"/>
    <w:basedOn w:val="7"/>
    <w:link w:val="4"/>
    <w:autoRedefine/>
    <w:qFormat/>
    <w:uiPriority w:val="99"/>
    <w:rPr>
      <w:sz w:val="18"/>
      <w:szCs w:val="18"/>
    </w:rPr>
  </w:style>
  <w:style w:type="paragraph" w:styleId="11">
    <w:name w:val="List Paragraph"/>
    <w:basedOn w:val="1"/>
    <w:autoRedefine/>
    <w:qFormat/>
    <w:uiPriority w:val="34"/>
    <w:pPr>
      <w:ind w:firstLine="420" w:firstLineChars="200"/>
    </w:pPr>
  </w:style>
  <w:style w:type="character" w:customStyle="1" w:styleId="12">
    <w:name w:val="批注框文本 字符"/>
    <w:basedOn w:val="7"/>
    <w:link w:val="3"/>
    <w:autoRedefine/>
    <w:semiHidden/>
    <w:qFormat/>
    <w:uiPriority w:val="99"/>
    <w:rPr>
      <w:sz w:val="18"/>
      <w:szCs w:val="18"/>
    </w:rPr>
  </w:style>
  <w:style w:type="character" w:customStyle="1" w:styleId="13">
    <w:name w:val="纯文本 字符"/>
    <w:basedOn w:val="7"/>
    <w:link w:val="2"/>
    <w:autoRedefine/>
    <w:semiHidden/>
    <w:qFormat/>
    <w:uiPriority w:val="99"/>
    <w:rPr>
      <w:rFonts w:hAnsi="Courier New" w:cs="Courier New" w:asciiTheme="minorEastAsia"/>
      <w:kern w:val="2"/>
      <w:sz w:val="21"/>
      <w:szCs w:val="22"/>
    </w:rPr>
  </w:style>
  <w:style w:type="paragraph" w:customStyle="1" w:styleId="14">
    <w:name w:val="_Style 8"/>
    <w:next w:val="1"/>
    <w:autoRedefine/>
    <w:qFormat/>
    <w:uiPriority w:val="0"/>
    <w:pPr>
      <w:widowControl w:val="0"/>
      <w:spacing w:line="360" w:lineRule="auto"/>
      <w:ind w:firstLine="480" w:firstLineChars="200"/>
      <w:jc w:val="both"/>
    </w:pPr>
    <w:rPr>
      <w:rFonts w:ascii="仿宋_GB2312" w:hAnsi="Times New Roman" w:eastAsia="宋体" w:cs="Times New Roman"/>
      <w:kern w:val="2"/>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875C38-7B6C-411C-BA9C-C0BCDEB49DD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624</Words>
  <Characters>3563</Characters>
  <Lines>29</Lines>
  <Paragraphs>8</Paragraphs>
  <TotalTime>6</TotalTime>
  <ScaleCrop>false</ScaleCrop>
  <LinksUpToDate>false</LinksUpToDate>
  <CharactersWithSpaces>4179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2021-03-29T03:07:00Z</dcterms:created>
  <dc:creator>Administrator</dc:creator>
  <cp:lastModifiedBy>歧</cp:lastModifiedBy>
  <cp:lastPrinted>2024-04-29T03:20:00Z</cp:lastPrinted>
  <dcterms:modified xsi:type="dcterms:W3CDTF">2025-04-21T05:21:06Z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3479A8F0088D4B19B838AA3367DE8291_13</vt:lpwstr>
  </property>
</Properties>
</file>